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Times New Roman" w:hAnsi="Times New Roman" w:eastAsia="黑体" w:cs="宋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宋体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宋体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hint="eastAsia" w:ascii="Times New Roman" w:hAnsi="Times New Roman" w:eastAsia="黑体" w:cs="宋体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“中国中小企业国际合作协会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中小企业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高质量发展</w:t>
      </w: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法律服务工作站”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</w:rPr>
        <w:t>申报说明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ascii="Times New Roman" w:hAnsi="Times New Roman" w:eastAsia="仿宋" w:cs="仿宋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一、关于“中国中小企业国际合作协会中小企业高质量发展法律服务工作站”（以下简称法律工作站）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法律工作站是中国中小企业国际合作协会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借助法律专业工作团队的优势和力量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专门面向中小企业设立的公益性法律服务站点，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旨在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汇聚各方力量，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 w:bidi="ar"/>
        </w:rPr>
        <w:t>助力广大中小企业高质量发展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平等保护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中小企业及企业家的合法权益，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优化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地方服务中小企业和民营企业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合规高质量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发展的法治环境，促进各类企业在我国社会建设、经济建设中发挥更大作用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同时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推动法律服务直达企业，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</w:rPr>
        <w:t>提高本会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为中小企业服务的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能力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我会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第一家法律工作站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在深圳设立，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运行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年多来，为深圳及周边省区市中小企业提供了数以千计的专业法律服务，收到良好效果。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结合当前中小企业工作要求和实际需求，我会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年继续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开展法律工作站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申报、推荐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</w:rPr>
        <w:t>、申报主体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全国各律师事务所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知识产权机构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等法律服务机构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Style w:val="6"/>
          <w:rFonts w:hint="eastAsia" w:ascii="Times New Roman" w:hAnsi="Times New Roman" w:eastAsia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黑体"/>
          <w:b w:val="0"/>
          <w:bCs w:val="0"/>
          <w:color w:val="333333"/>
          <w:sz w:val="32"/>
          <w:szCs w:val="32"/>
          <w:lang w:val="en-US" w:eastAsia="zh-CN"/>
        </w:rPr>
        <w:t>三</w:t>
      </w:r>
      <w:r>
        <w:rPr>
          <w:rStyle w:val="6"/>
          <w:rFonts w:hint="eastAsia" w:ascii="Times New Roman" w:hAnsi="Times New Roman" w:eastAsia="黑体"/>
          <w:b w:val="0"/>
          <w:bCs w:val="0"/>
          <w:color w:val="333333"/>
          <w:sz w:val="32"/>
          <w:szCs w:val="32"/>
        </w:rPr>
        <w:t>、</w:t>
      </w:r>
      <w:r>
        <w:rPr>
          <w:rStyle w:val="6"/>
          <w:rFonts w:hint="eastAsia" w:ascii="Times New Roman" w:hAnsi="Times New Roman" w:eastAsia="黑体"/>
          <w:b w:val="0"/>
          <w:bCs w:val="0"/>
          <w:color w:val="333333"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符合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《中国中小企业国际合作协会中小企业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高质量发展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法律服务工作站管理办法》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第四条规定的申报要求。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</w:rPr>
        <w:t>、申报渠道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（一）法律服务机构向我会自行申报。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</w:rPr>
        <w:t>（二）省级中小企业服务机构向我会推荐申报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  <w:shd w:val="clear" w:color="auto" w:fill="FFFFFF"/>
          <w:lang w:val="en-US" w:eastAsia="zh-CN"/>
        </w:rPr>
        <w:t>五、申报、评审流程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楷体" w:cs="楷体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楷体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楷体" w:cs="楷体"/>
          <w:color w:val="333333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Times New Roman" w:hAnsi="Times New Roman" w:eastAsia="楷体" w:cs="楷体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楷体" w:cs="楷体"/>
          <w:color w:val="333333"/>
          <w:sz w:val="32"/>
          <w:szCs w:val="32"/>
          <w:shd w:val="clear" w:color="auto" w:fill="FFFFFF"/>
          <w:lang w:val="en-US" w:eastAsia="zh-CN"/>
        </w:rPr>
        <w:t>申报提交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申请设立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法律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工作站的律师事务所等法律服务机构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须填写《“法律工作站”设立申请表》并附评定证明材料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报送我会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申报单位须对所提供材料真实性负责，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凡弄虚作假者，一经查出，取消入选资格。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bCs/>
          <w:color w:val="auto"/>
          <w:sz w:val="32"/>
          <w:szCs w:val="32"/>
          <w:shd w:val="clear" w:color="auto" w:fill="FFFFFF"/>
        </w:rPr>
        <w:t>自愿推荐本区域中小企业法律服务机构作为法律工作站的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省级中小企业发展促进（服务）中心（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以下简称省级中心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须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填写《“法律工作站”申请设立汇总表》，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连同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被推荐法律服务机构填报的《“法律工作站”设立申请表》及评定证明材料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报送我会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如有虚报，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取消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该推荐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机构第二年推荐资格。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所有评定证明材料必须真实有效，具体包括：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《“法律工作站”设立申请表》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）《“法律工作站”申请设立汇总表》（限省级中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提供）；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）律师事务所执业证书复印件或法律服务机构工商营业执照复印件；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）法律服务机构负责人身份证明复印件；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）有关获奖证书、评定证书等资质材料复印件；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）近三年内为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家以上中小企业客户提供诉讼或非诉讼法律服务的案例复印件（诉讼案例需提交判决书、裁定书复印件；非诉讼案例可提供法律意见书、尽职调查报告或其他能够证明其参与项目的法律文书复印件；若案例中涉及到客户的不宜公开的信息或商业秘密，需自行遮盖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）近三年内服务所在省（自治区、直辖市）中小企业情况的证明文件；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0"/>
        <w:jc w:val="both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（8）入会证明文件。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上述材料须按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A4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标准纸规格装订。除材料（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）须加盖省级中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公章外，其他材料须加盖法律服务机构公章。申报机构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推荐机构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须将书面材料一式一份，于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2023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26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shd w:val="clear" w:color="auto" w:fill="FFFFFF"/>
        </w:rPr>
        <w:t>日（周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ascii="Times New Roman" w:hAnsi="Times New Roman" w:eastAsia="仿宋_GB2312" w:cs="仿宋_GB2312"/>
          <w:b/>
          <w:bCs/>
          <w:color w:val="auto"/>
          <w:sz w:val="32"/>
          <w:szCs w:val="32"/>
          <w:shd w:val="clear" w:color="auto" w:fill="FFFFFF"/>
        </w:rPr>
        <w:t>）前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邮寄至中国中小企业国际合作协会会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员发展与服务部（地址：北京市海淀区西直门北大街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32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号枫蓝国际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A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1206C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），同时将电子版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全部文件扫描件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及申请表、汇总表WORD版本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发至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hyfz@chinasme.org.cn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。电子版内容应当与书面材料内容一致。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楷体" w:cs="楷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组织评审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我会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将组织专家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对申报材料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的真实性、合法性、适格性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进行审核，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综合考虑各区域中小企业法律服务供需状况、领域覆盖情况等，择优确定入围机构。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楷体" w:cs="楷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楷体" w:cs="楷体"/>
          <w:color w:val="auto"/>
          <w:sz w:val="32"/>
          <w:szCs w:val="32"/>
          <w:shd w:val="clear" w:color="auto" w:fill="FFFFFF"/>
          <w:lang w:val="en-US" w:eastAsia="zh-CN"/>
        </w:rPr>
        <w:t>（三）公示认定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经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审核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入围的法律服务机构，将在我协会官网公示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个工作日，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无异议后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将被认定为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法律工作站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同时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，成功推荐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家以上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法律服务站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的省级中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心将被认定为该区域法律服务工作站指导单位。我会将向上述机构颁发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法律工作站牌匾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或区域法律服务工作站指导单位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证书。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shd w:val="clear" w:color="auto" w:fill="FFFFFF"/>
          <w:lang w:val="en-US" w:eastAsia="zh-CN"/>
        </w:rPr>
        <w:t>问题咨询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申报过程中，如有疑问，欢迎来电咨询。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联系人：马老师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010-82292095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jc w:val="both"/>
        <w:textAlignment w:val="auto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9F144"/>
    <w:multiLevelType w:val="singleLevel"/>
    <w:tmpl w:val="9459F14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5N2ZlMTU0ZWYzZmUxNDZiZGI0MDc1YThiYTNmMjcifQ=="/>
  </w:docVars>
  <w:rsids>
    <w:rsidRoot w:val="00AC1EFB"/>
    <w:rsid w:val="00063E76"/>
    <w:rsid w:val="000C0101"/>
    <w:rsid w:val="000E48C2"/>
    <w:rsid w:val="001837C1"/>
    <w:rsid w:val="0020276E"/>
    <w:rsid w:val="00251274"/>
    <w:rsid w:val="00290D46"/>
    <w:rsid w:val="00336E12"/>
    <w:rsid w:val="003A1EDE"/>
    <w:rsid w:val="003A2781"/>
    <w:rsid w:val="003D0640"/>
    <w:rsid w:val="003E17EE"/>
    <w:rsid w:val="003F01ED"/>
    <w:rsid w:val="003F30ED"/>
    <w:rsid w:val="00470182"/>
    <w:rsid w:val="00491D9B"/>
    <w:rsid w:val="004B5059"/>
    <w:rsid w:val="00515057"/>
    <w:rsid w:val="005E0474"/>
    <w:rsid w:val="00634DF1"/>
    <w:rsid w:val="00683D2A"/>
    <w:rsid w:val="00750055"/>
    <w:rsid w:val="008068AA"/>
    <w:rsid w:val="00866D3C"/>
    <w:rsid w:val="008A3C58"/>
    <w:rsid w:val="008D1A53"/>
    <w:rsid w:val="008E3EFD"/>
    <w:rsid w:val="00917343"/>
    <w:rsid w:val="00946990"/>
    <w:rsid w:val="009B246A"/>
    <w:rsid w:val="00A61794"/>
    <w:rsid w:val="00A8682E"/>
    <w:rsid w:val="00AB29C5"/>
    <w:rsid w:val="00AC1EFB"/>
    <w:rsid w:val="00B17F56"/>
    <w:rsid w:val="00B56E63"/>
    <w:rsid w:val="00B64378"/>
    <w:rsid w:val="00B91158"/>
    <w:rsid w:val="00BF375F"/>
    <w:rsid w:val="00C8068F"/>
    <w:rsid w:val="00CB1908"/>
    <w:rsid w:val="00CC2C98"/>
    <w:rsid w:val="00D23FE0"/>
    <w:rsid w:val="00DC55D3"/>
    <w:rsid w:val="00E33CBF"/>
    <w:rsid w:val="00E6735A"/>
    <w:rsid w:val="00E87558"/>
    <w:rsid w:val="00E9394C"/>
    <w:rsid w:val="00EB43EF"/>
    <w:rsid w:val="00EC4B4D"/>
    <w:rsid w:val="00EF046D"/>
    <w:rsid w:val="00F050A2"/>
    <w:rsid w:val="00FA08CD"/>
    <w:rsid w:val="00FB12FE"/>
    <w:rsid w:val="00FC037A"/>
    <w:rsid w:val="011A73BC"/>
    <w:rsid w:val="04582711"/>
    <w:rsid w:val="078671E8"/>
    <w:rsid w:val="0DF66740"/>
    <w:rsid w:val="0FC44705"/>
    <w:rsid w:val="14DE58BA"/>
    <w:rsid w:val="1BCD0D54"/>
    <w:rsid w:val="1DFA5E0E"/>
    <w:rsid w:val="21CF58C3"/>
    <w:rsid w:val="34D149A0"/>
    <w:rsid w:val="35AF4DE1"/>
    <w:rsid w:val="396A4A5C"/>
    <w:rsid w:val="3B6B6E2A"/>
    <w:rsid w:val="422D3D55"/>
    <w:rsid w:val="4D5B1298"/>
    <w:rsid w:val="5BDA64FF"/>
    <w:rsid w:val="6FF90996"/>
    <w:rsid w:val="71EA7888"/>
    <w:rsid w:val="78C96303"/>
    <w:rsid w:val="7DF86D46"/>
    <w:rsid w:val="7F0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1447</Words>
  <Characters>1501</Characters>
  <Lines>5</Lines>
  <Paragraphs>1</Paragraphs>
  <TotalTime>17</TotalTime>
  <ScaleCrop>false</ScaleCrop>
  <LinksUpToDate>false</LinksUpToDate>
  <CharactersWithSpaces>1504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2022-06-01T08:05:00Z</dcterms:created>
  <dc:creator>宁</dc:creator>
  <cp:lastModifiedBy>dell</cp:lastModifiedBy>
  <cp:lastPrinted>2023-02-13T02:13:00Z</cp:lastPrinted>
  <dcterms:modified xsi:type="dcterms:W3CDTF">2023-02-24T08:17:24Z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D8AD679E400F4E87876CBC0C4E68FA6B</vt:lpwstr>
  </property>
</Properties>
</file>