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66C91">
      <w:pPr>
        <w:spacing w:after="0"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附件2 </w:t>
      </w:r>
    </w:p>
    <w:p w14:paraId="04AFC308">
      <w:pPr>
        <w:spacing w:after="0" w:line="560" w:lineRule="exact"/>
        <w:jc w:val="center"/>
        <w:rPr>
          <w:rFonts w:hint="default" w:ascii="Times New Roman" w:hAnsi="Times New Roman" w:cs="Times New Roman" w:eastAsiaTheme="minorEastAsia"/>
          <w:b/>
          <w:bCs/>
          <w:lang w:eastAsia="zh-CN"/>
        </w:rPr>
      </w:pPr>
      <w:r>
        <w:rPr>
          <w:rFonts w:hint="default" w:ascii="Times New Roman" w:hAnsi="Times New Roman" w:eastAsia="方正小标宋简体" w:cs="Times New Roman"/>
          <w:sz w:val="44"/>
          <w:szCs w:val="44"/>
          <w:lang w:eastAsia="zh-CN"/>
        </w:rPr>
        <w:t>相关提名说明</w:t>
      </w:r>
    </w:p>
    <w:p w14:paraId="65D9C0E7">
      <w:pPr>
        <w:spacing w:after="0" w:line="560" w:lineRule="exact"/>
        <w:jc w:val="both"/>
        <w:rPr>
          <w:rFonts w:hint="default" w:ascii="Times New Roman" w:hAnsi="Times New Roman" w:cs="Times New Roman"/>
          <w:b/>
          <w:bCs/>
          <w:sz w:val="28"/>
          <w:szCs w:val="28"/>
        </w:rPr>
      </w:pPr>
    </w:p>
    <w:p w14:paraId="6DCA4431">
      <w:pPr>
        <w:spacing w:after="0" w:line="560" w:lineRule="exact"/>
        <w:jc w:val="both"/>
        <w:rPr>
          <w:rFonts w:hint="default" w:ascii="Times New Roman" w:hAnsi="Times New Roman" w:cs="Times New Roman"/>
          <w:sz w:val="24"/>
          <w:szCs w:val="24"/>
        </w:rPr>
      </w:pPr>
      <w:r>
        <w:rPr>
          <w:rFonts w:hint="default" w:ascii="Times New Roman" w:hAnsi="Times New Roman" w:cs="Times New Roman"/>
          <w:b/>
          <w:bCs/>
          <w:sz w:val="24"/>
          <w:szCs w:val="24"/>
        </w:rPr>
        <w:t>Overview</w:t>
      </w:r>
    </w:p>
    <w:p w14:paraId="03A709AF">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In November 2022, the SCE endorsed a project proposal to establish the APEC Bio-Circular-Green (BCG) Award, co-proposed by Canada; China and Thailand, and co-sponsored by Hong Kong, China; New Zealand; Peru and the United States. The Award was launched at the 2022 APEC Ministerial Meeting (AMM) held in Bangkok, Thailand.</w:t>
      </w:r>
    </w:p>
    <w:p w14:paraId="3A2B380B">
      <w:pPr>
        <w:spacing w:after="0" w:line="560" w:lineRule="exact"/>
        <w:jc w:val="both"/>
        <w:rPr>
          <w:rFonts w:hint="default" w:ascii="Times New Roman" w:hAnsi="Times New Roman" w:cs="Times New Roman"/>
          <w:sz w:val="24"/>
          <w:szCs w:val="24"/>
        </w:rPr>
      </w:pPr>
    </w:p>
    <w:p w14:paraId="2711E40D">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The APEC BCG Award recognises distinguished individuals and/or organisations that have concretely implemented BCG economy approaches to advance sustainable and inclusive growth, to serve as examples and inspirations for communities to learn from, replicate and apply in their own settings.</w:t>
      </w:r>
    </w:p>
    <w:p w14:paraId="74668955">
      <w:pPr>
        <w:spacing w:after="0" w:line="560" w:lineRule="exact"/>
        <w:jc w:val="both"/>
        <w:rPr>
          <w:rFonts w:hint="default" w:ascii="Times New Roman" w:hAnsi="Times New Roman" w:cs="Times New Roman"/>
          <w:sz w:val="24"/>
          <w:szCs w:val="24"/>
        </w:rPr>
      </w:pPr>
    </w:p>
    <w:p w14:paraId="1CAF6E14">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The three award categories are Women, Youth and MSMEs, which seek to highlight the unique contributions of each group while underscoring the critical importance of whole-of-society partnerships and an inclusive approach to implement the BCG economy model. The APEC BCG Award supports and contributes to the implementation of the Bangkok Goals on BCG Economy.</w:t>
      </w:r>
    </w:p>
    <w:p w14:paraId="111EB3D5">
      <w:pPr>
        <w:spacing w:after="0" w:line="560" w:lineRule="exact"/>
        <w:jc w:val="both"/>
        <w:rPr>
          <w:rFonts w:hint="default" w:ascii="Times New Roman" w:hAnsi="Times New Roman" w:cs="Times New Roman"/>
          <w:sz w:val="24"/>
          <w:szCs w:val="24"/>
        </w:rPr>
      </w:pPr>
    </w:p>
    <w:p w14:paraId="61E5BF8E">
      <w:pPr>
        <w:spacing w:after="0" w:line="560" w:lineRule="exact"/>
        <w:jc w:val="both"/>
        <w:rPr>
          <w:rFonts w:hint="default" w:ascii="Times New Roman" w:hAnsi="Times New Roman" w:cs="Times New Roman"/>
          <w:sz w:val="24"/>
          <w:szCs w:val="24"/>
        </w:rPr>
      </w:pPr>
      <w:r>
        <w:rPr>
          <w:rFonts w:hint="default" w:ascii="Times New Roman" w:hAnsi="Times New Roman" w:cs="Times New Roman"/>
          <w:b/>
          <w:bCs/>
          <w:sz w:val="24"/>
          <w:szCs w:val="24"/>
        </w:rPr>
        <w:t>Nominations</w:t>
      </w:r>
    </w:p>
    <w:p w14:paraId="45F287DF">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Each member economy, through its representative in the SCE, is invited to nominate one candidate to be considered for each Award category.</w:t>
      </w:r>
    </w:p>
    <w:p w14:paraId="04535553">
      <w:pPr>
        <w:spacing w:after="0" w:line="560" w:lineRule="exact"/>
        <w:jc w:val="both"/>
        <w:rPr>
          <w:rFonts w:hint="default" w:ascii="Times New Roman" w:hAnsi="Times New Roman" w:cs="Times New Roman"/>
          <w:sz w:val="24"/>
          <w:szCs w:val="24"/>
        </w:rPr>
      </w:pPr>
    </w:p>
    <w:p w14:paraId="0BFD066E">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Nominations for each Award category must meet the following eligibility criteria:</w:t>
      </w:r>
    </w:p>
    <w:tbl>
      <w:tblPr>
        <w:tblStyle w:val="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8"/>
        <w:gridCol w:w="2835"/>
        <w:gridCol w:w="2296"/>
      </w:tblGrid>
      <w:tr w14:paraId="52760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658" w:type="dxa"/>
            <w:shd w:val="clear" w:color="auto" w:fill="E7E6E6"/>
          </w:tcPr>
          <w:p w14:paraId="04EC630F">
            <w:pPr>
              <w:pStyle w:val="4"/>
              <w:spacing w:line="560" w:lineRule="exact"/>
              <w:ind w:left="1374" w:right="1366"/>
              <w:jc w:val="center"/>
              <w:rPr>
                <w:rFonts w:hint="default" w:ascii="Times New Roman" w:hAnsi="Times New Roman" w:cs="Times New Roman"/>
                <w:b/>
                <w:sz w:val="24"/>
                <w:szCs w:val="24"/>
              </w:rPr>
            </w:pPr>
            <w:r>
              <w:rPr>
                <w:rFonts w:hint="default" w:ascii="Times New Roman" w:hAnsi="Times New Roman" w:cs="Times New Roman"/>
                <w:b/>
                <w:sz w:val="24"/>
                <w:szCs w:val="24"/>
              </w:rPr>
              <w:t>Women</w:t>
            </w:r>
          </w:p>
        </w:tc>
        <w:tc>
          <w:tcPr>
            <w:tcW w:w="2835" w:type="dxa"/>
            <w:shd w:val="clear" w:color="auto" w:fill="E7E6E6"/>
          </w:tcPr>
          <w:p w14:paraId="7BA0F9A8">
            <w:pPr>
              <w:pStyle w:val="4"/>
              <w:spacing w:line="560" w:lineRule="exact"/>
              <w:ind w:left="1056" w:right="1049"/>
              <w:jc w:val="center"/>
              <w:rPr>
                <w:rFonts w:hint="default" w:ascii="Times New Roman" w:hAnsi="Times New Roman" w:cs="Times New Roman"/>
                <w:b/>
                <w:sz w:val="24"/>
                <w:szCs w:val="24"/>
              </w:rPr>
            </w:pPr>
            <w:r>
              <w:rPr>
                <w:rFonts w:hint="default" w:ascii="Times New Roman" w:hAnsi="Times New Roman" w:cs="Times New Roman"/>
                <w:b/>
                <w:sz w:val="24"/>
                <w:szCs w:val="24"/>
              </w:rPr>
              <w:t>Youth</w:t>
            </w:r>
          </w:p>
        </w:tc>
        <w:tc>
          <w:tcPr>
            <w:tcW w:w="2296" w:type="dxa"/>
            <w:shd w:val="clear" w:color="auto" w:fill="E7E6E6"/>
          </w:tcPr>
          <w:p w14:paraId="69969F9C">
            <w:pPr>
              <w:pStyle w:val="4"/>
              <w:spacing w:line="560" w:lineRule="exact"/>
              <w:ind w:left="454" w:right="963"/>
              <w:jc w:val="center"/>
              <w:rPr>
                <w:rFonts w:hint="default" w:ascii="Times New Roman" w:hAnsi="Times New Roman" w:cs="Times New Roman"/>
                <w:b/>
                <w:sz w:val="24"/>
                <w:szCs w:val="24"/>
              </w:rPr>
            </w:pPr>
            <w:r>
              <w:rPr>
                <w:rFonts w:hint="default" w:ascii="Times New Roman" w:hAnsi="Times New Roman" w:cs="Times New Roman"/>
                <w:b/>
                <w:sz w:val="24"/>
                <w:szCs w:val="24"/>
              </w:rPr>
              <w:t>MSMEs</w:t>
            </w:r>
          </w:p>
        </w:tc>
      </w:tr>
      <w:tr w14:paraId="24AF5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3658" w:type="dxa"/>
          </w:tcPr>
          <w:p w14:paraId="1603BFD0">
            <w:pPr>
              <w:pStyle w:val="4"/>
              <w:spacing w:line="560" w:lineRule="exact"/>
              <w:ind w:right="105"/>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Woman-owned business: exercise ownership of at least 50% of the total capital </w:t>
            </w:r>
            <w:r>
              <w:rPr>
                <w:rFonts w:hint="default" w:ascii="Times New Roman" w:hAnsi="Times New Roman" w:cs="Times New Roman"/>
                <w:sz w:val="24"/>
                <w:szCs w:val="24"/>
                <w:u w:val="single"/>
                <w:lang w:val="en-US"/>
              </w:rPr>
              <w:t>or</w:t>
            </w:r>
            <w:r>
              <w:rPr>
                <w:rFonts w:hint="default" w:ascii="Times New Roman" w:hAnsi="Times New Roman" w:cs="Times New Roman"/>
                <w:sz w:val="24"/>
                <w:szCs w:val="24"/>
                <w:lang w:val="en-US"/>
              </w:rPr>
              <w:t xml:space="preserve"> voting power of at least 50% of a juridical person</w:t>
            </w:r>
          </w:p>
        </w:tc>
        <w:tc>
          <w:tcPr>
            <w:tcW w:w="2835" w:type="dxa"/>
          </w:tcPr>
          <w:p w14:paraId="28E24FAD">
            <w:pPr>
              <w:pStyle w:val="4"/>
              <w:spacing w:line="560" w:lineRule="exact"/>
              <w:rPr>
                <w:rFonts w:hint="default" w:ascii="Times New Roman" w:hAnsi="Times New Roman" w:cs="Times New Roman"/>
                <w:sz w:val="24"/>
                <w:szCs w:val="24"/>
                <w:lang w:val="en-US"/>
              </w:rPr>
            </w:pPr>
            <w:r>
              <w:rPr>
                <w:rFonts w:hint="default" w:ascii="Times New Roman" w:hAnsi="Times New Roman" w:cs="Times New Roman"/>
                <w:sz w:val="24"/>
                <w:szCs w:val="24"/>
                <w:lang w:val="en-US"/>
              </w:rPr>
              <w:t>Age: not over the age of 30 (as of 31 December</w:t>
            </w:r>
          </w:p>
          <w:p w14:paraId="0D1773C5">
            <w:pPr>
              <w:pStyle w:val="4"/>
              <w:spacing w:before="7" w:line="560" w:lineRule="exact"/>
              <w:rPr>
                <w:rFonts w:hint="default" w:ascii="Times New Roman" w:hAnsi="Times New Roman" w:cs="Times New Roman"/>
                <w:sz w:val="24"/>
                <w:szCs w:val="24"/>
              </w:rPr>
            </w:pPr>
            <w:r>
              <w:rPr>
                <w:rFonts w:hint="default" w:ascii="Times New Roman" w:hAnsi="Times New Roman" w:cs="Times New Roman"/>
                <w:sz w:val="24"/>
                <w:szCs w:val="24"/>
              </w:rPr>
              <w:t>2025)</w:t>
            </w:r>
          </w:p>
        </w:tc>
        <w:tc>
          <w:tcPr>
            <w:tcW w:w="2296" w:type="dxa"/>
          </w:tcPr>
          <w:p w14:paraId="57C110D3">
            <w:pPr>
              <w:pStyle w:val="4"/>
              <w:spacing w:line="560" w:lineRule="exact"/>
              <w:ind w:right="257"/>
              <w:rPr>
                <w:rFonts w:hint="default" w:ascii="Times New Roman" w:hAnsi="Times New Roman" w:cs="Times New Roman"/>
                <w:sz w:val="24"/>
                <w:szCs w:val="24"/>
                <w:lang w:val="en-US"/>
              </w:rPr>
            </w:pPr>
            <w:r>
              <w:rPr>
                <w:rFonts w:hint="default" w:ascii="Times New Roman" w:hAnsi="Times New Roman" w:cs="Times New Roman"/>
                <w:sz w:val="24"/>
                <w:szCs w:val="24"/>
                <w:lang w:val="en-US"/>
              </w:rPr>
              <w:t>Number of Employees: Not over 500.</w:t>
            </w:r>
          </w:p>
        </w:tc>
      </w:tr>
      <w:tr w14:paraId="44D2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789" w:type="dxa"/>
            <w:gridSpan w:val="3"/>
          </w:tcPr>
          <w:p w14:paraId="76375C04">
            <w:pPr>
              <w:pStyle w:val="4"/>
              <w:spacing w:line="560" w:lineRule="exact"/>
              <w:ind w:left="1074" w:right="1074"/>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operation for at a minimum of one calendar year.</w:t>
            </w:r>
          </w:p>
        </w:tc>
      </w:tr>
      <w:tr w14:paraId="03059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789" w:type="dxa"/>
            <w:gridSpan w:val="3"/>
          </w:tcPr>
          <w:p w14:paraId="47863755">
            <w:pPr>
              <w:pStyle w:val="4"/>
              <w:spacing w:line="560" w:lineRule="exact"/>
              <w:ind w:left="3780" w:hanging="3445"/>
              <w:rPr>
                <w:rFonts w:hint="default" w:ascii="Times New Roman" w:hAnsi="Times New Roman" w:cs="Times New Roman"/>
                <w:sz w:val="24"/>
                <w:szCs w:val="24"/>
                <w:lang w:val="en-US"/>
              </w:rPr>
            </w:pPr>
            <w:r>
              <w:rPr>
                <w:rFonts w:hint="default" w:ascii="Times New Roman" w:hAnsi="Times New Roman" w:cs="Times New Roman"/>
                <w:sz w:val="24"/>
                <w:szCs w:val="24"/>
                <w:lang w:val="en-US"/>
              </w:rPr>
              <w:t>Be a citizen and/or resident and/or own and operate a business in the nominating APEC economy.</w:t>
            </w:r>
          </w:p>
        </w:tc>
      </w:tr>
      <w:tr w14:paraId="11FFE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8789" w:type="dxa"/>
            <w:gridSpan w:val="3"/>
          </w:tcPr>
          <w:p w14:paraId="09941BEC">
            <w:pPr>
              <w:pStyle w:val="4"/>
              <w:spacing w:line="560" w:lineRule="exact"/>
              <w:ind w:left="1081" w:right="1074"/>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Represent a replicable BCG business model/approach/activity(ies).</w:t>
            </w:r>
          </w:p>
        </w:tc>
      </w:tr>
    </w:tbl>
    <w:p w14:paraId="7EDFE8DC">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In addition to advancing implementation of the Bangkok Goals on BCG Economy, member economies are also encouraged to submit nominations in support of the APEC 2025 theme “Building a Sustainable Tomorrow.”</w:t>
      </w:r>
    </w:p>
    <w:p w14:paraId="3643DA6C">
      <w:pPr>
        <w:spacing w:after="0" w:line="560" w:lineRule="exact"/>
        <w:jc w:val="both"/>
        <w:rPr>
          <w:rFonts w:hint="default" w:ascii="Times New Roman" w:hAnsi="Times New Roman" w:cs="Times New Roman"/>
          <w:sz w:val="24"/>
          <w:szCs w:val="24"/>
        </w:rPr>
      </w:pPr>
    </w:p>
    <w:p w14:paraId="4EC88E95">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Given that the implementation of the Bangkok Goals requires strong whole-of-society partnerships, member economies are also encouraged to promote and seek nominees from relevant stakeholders as widely as possible, for example with relevant chambers of commerce, sustainable business groupings, and academic institutions, as appropriate.</w:t>
      </w:r>
    </w:p>
    <w:p w14:paraId="7F12BCEC">
      <w:pPr>
        <w:spacing w:after="0" w:line="560" w:lineRule="exact"/>
        <w:jc w:val="both"/>
        <w:rPr>
          <w:rFonts w:hint="default" w:ascii="Times New Roman" w:hAnsi="Times New Roman" w:cs="Times New Roman" w:eastAsiaTheme="minorEastAsia"/>
          <w:sz w:val="24"/>
          <w:szCs w:val="24"/>
          <w:lang w:eastAsia="zh-CN"/>
        </w:rPr>
      </w:pPr>
    </w:p>
    <w:p w14:paraId="0CE69EED">
      <w:pPr>
        <w:spacing w:after="0" w:line="560" w:lineRule="exact"/>
        <w:jc w:val="both"/>
        <w:rPr>
          <w:rFonts w:hint="default" w:ascii="Times New Roman" w:hAnsi="Times New Roman" w:cs="Times New Roman"/>
          <w:sz w:val="24"/>
          <w:szCs w:val="24"/>
        </w:rPr>
      </w:pPr>
      <w:r>
        <w:rPr>
          <w:rFonts w:hint="default" w:ascii="Times New Roman" w:hAnsi="Times New Roman" w:cs="Times New Roman"/>
          <w:b/>
          <w:bCs/>
          <w:sz w:val="24"/>
          <w:szCs w:val="24"/>
        </w:rPr>
        <w:t>Selection Process</w:t>
      </w:r>
    </w:p>
    <w:p w14:paraId="066BA0E0">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Once nominations are received, the Selection Committee will rank the nominees to determine the winner for each Award category.</w:t>
      </w:r>
    </w:p>
    <w:p w14:paraId="6A075C62">
      <w:pPr>
        <w:spacing w:after="0" w:line="560" w:lineRule="exact"/>
        <w:jc w:val="both"/>
        <w:rPr>
          <w:rFonts w:hint="default" w:ascii="Times New Roman" w:hAnsi="Times New Roman" w:cs="Times New Roman"/>
          <w:sz w:val="24"/>
          <w:szCs w:val="24"/>
        </w:rPr>
      </w:pPr>
    </w:p>
    <w:p w14:paraId="376FFF7B">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The Selection Committee for the 2025 APEC BCG Award comprises Senior Officials or representatives from Peru (previous host economy); Republic of Korea (current host economy); China (incoming host economy); Canada</w:t>
      </w:r>
      <w:r>
        <w:rPr>
          <w:rFonts w:hint="default" w:ascii="Times New Roman" w:hAnsi="Times New Roman" w:cs="Times New Roman"/>
          <w:sz w:val="24"/>
          <w:szCs w:val="24"/>
          <w:lang w:val="en-US" w:bidi="th-TH"/>
        </w:rPr>
        <w:t>; Hong Kong, China and Thailand</w:t>
      </w:r>
      <w:r>
        <w:rPr>
          <w:rFonts w:hint="default" w:ascii="Times New Roman" w:hAnsi="Times New Roman" w:cs="Times New Roman"/>
          <w:sz w:val="24"/>
          <w:szCs w:val="24"/>
        </w:rPr>
        <w:t xml:space="preserve"> as 2025 contributors to the BCG Award Fund, as well as the APEC Executive Director, the Policy Support Unit Director</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and a representative from the ABAC Secretariat.</w:t>
      </w:r>
    </w:p>
    <w:p w14:paraId="5EA8F064">
      <w:pPr>
        <w:spacing w:after="0" w:line="560" w:lineRule="exact"/>
        <w:jc w:val="both"/>
        <w:rPr>
          <w:rFonts w:hint="default" w:ascii="Times New Roman" w:hAnsi="Times New Roman" w:cs="Times New Roman"/>
          <w:sz w:val="24"/>
          <w:szCs w:val="24"/>
        </w:rPr>
      </w:pPr>
    </w:p>
    <w:p w14:paraId="6561D7DA">
      <w:pPr>
        <w:spacing w:after="0" w:line="560" w:lineRule="exact"/>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The Selection Committee will be encouraged to take into consideration as well as seek to achieve a distribution of Award winners that is reflective of the diversity of APEC’s membership.</w:t>
      </w:r>
      <w:r>
        <w:rPr>
          <w:rFonts w:hint="default" w:ascii="Times New Roman" w:hAnsi="Times New Roman" w:eastAsia="宋体" w:cs="Times New Roman"/>
          <w:sz w:val="24"/>
          <w:szCs w:val="24"/>
          <w:lang w:val="en-US" w:eastAsia="zh-CN"/>
        </w:rPr>
        <w:t xml:space="preserve"> </w:t>
      </w:r>
    </w:p>
    <w:p w14:paraId="34A929F5">
      <w:pPr>
        <w:spacing w:after="0" w:line="560" w:lineRule="exact"/>
        <w:jc w:val="both"/>
        <w:rPr>
          <w:rFonts w:hint="default" w:ascii="Times New Roman" w:hAnsi="Times New Roman" w:eastAsia="宋体" w:cs="Times New Roman"/>
          <w:sz w:val="24"/>
          <w:szCs w:val="24"/>
          <w:lang w:val="en-US" w:eastAsia="zh-CN"/>
        </w:rPr>
      </w:pPr>
    </w:p>
    <w:p w14:paraId="654CE265">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SCE Programme Director will collate the rankings from the Selection Committee scorecards received. </w:t>
      </w:r>
    </w:p>
    <w:p w14:paraId="51963015">
      <w:pPr>
        <w:spacing w:after="0" w:line="560" w:lineRule="exact"/>
        <w:jc w:val="both"/>
        <w:rPr>
          <w:rFonts w:hint="default" w:ascii="Times New Roman" w:hAnsi="Times New Roman" w:cs="Times New Roman"/>
          <w:sz w:val="24"/>
          <w:szCs w:val="24"/>
        </w:rPr>
      </w:pPr>
    </w:p>
    <w:p w14:paraId="0674C167">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The top-ranked nominee from each category will be considered the Award winners.</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t>The Award winners will be announced at the 2025 APEC Ministerial Meeting scheduled to be held in November in Gyeongju, Republic of Korea. The Award winners will also be featured on the Bangkok Goals and APEC websites.</w:t>
      </w:r>
    </w:p>
    <w:p w14:paraId="482C4C8E">
      <w:pPr>
        <w:spacing w:after="0" w:line="560" w:lineRule="exact"/>
        <w:jc w:val="both"/>
        <w:rPr>
          <w:rFonts w:hint="default" w:ascii="Times New Roman" w:hAnsi="Times New Roman" w:cs="Times New Roman"/>
          <w:sz w:val="24"/>
          <w:szCs w:val="24"/>
        </w:rPr>
      </w:pPr>
    </w:p>
    <w:p w14:paraId="6681D001">
      <w:pPr>
        <w:spacing w:after="0" w:line="560" w:lineRule="exact"/>
        <w:jc w:val="both"/>
        <w:rPr>
          <w:rFonts w:hint="default" w:ascii="Times New Roman" w:hAnsi="Times New Roman" w:cs="Times New Roman"/>
          <w:sz w:val="24"/>
          <w:szCs w:val="24"/>
        </w:rPr>
      </w:pPr>
      <w:r>
        <w:rPr>
          <w:rFonts w:hint="default" w:ascii="Times New Roman" w:hAnsi="Times New Roman" w:cs="Times New Roman"/>
          <w:b/>
          <w:bCs/>
          <w:sz w:val="24"/>
          <w:szCs w:val="24"/>
        </w:rPr>
        <w:t>Prize Money, Financial Contributions and Management</w:t>
      </w:r>
    </w:p>
    <w:p w14:paraId="1D15B033">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Each Award winner will receive a cash prize of $5,000 USD to be disbursed following the announcement of the winner at the AMM that year and upon a written notification by the SCE Programme Director</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w:t>
      </w:r>
    </w:p>
    <w:p w14:paraId="64155557">
      <w:pPr>
        <w:spacing w:after="0" w:line="560" w:lineRule="exact"/>
        <w:jc w:val="both"/>
        <w:rPr>
          <w:rFonts w:hint="default" w:ascii="Times New Roman" w:hAnsi="Times New Roman" w:cs="Times New Roman"/>
          <w:sz w:val="24"/>
          <w:szCs w:val="24"/>
        </w:rPr>
      </w:pPr>
    </w:p>
    <w:p w14:paraId="2177C904">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Based on the contributions to date, the 2025 APEC BCG Award will be awarded to one winner for each Award category. The remaining contributions will be kept for use for future years.</w:t>
      </w:r>
    </w:p>
    <w:p w14:paraId="1AFFA349">
      <w:pPr>
        <w:spacing w:after="0" w:line="560" w:lineRule="exact"/>
        <w:jc w:val="both"/>
        <w:rPr>
          <w:rFonts w:hint="default" w:ascii="Times New Roman" w:hAnsi="Times New Roman" w:cs="Times New Roman"/>
          <w:sz w:val="24"/>
          <w:szCs w:val="24"/>
        </w:rPr>
      </w:pPr>
    </w:p>
    <w:p w14:paraId="1ABB2FB7">
      <w:pPr>
        <w:spacing w:after="0" w:line="560" w:lineRule="exact"/>
        <w:jc w:val="both"/>
        <w:rPr>
          <w:rFonts w:hint="default" w:ascii="Times New Roman" w:hAnsi="Times New Roman" w:cs="Times New Roman"/>
          <w:sz w:val="24"/>
          <w:szCs w:val="24"/>
        </w:rPr>
      </w:pPr>
      <w:r>
        <w:rPr>
          <w:rFonts w:hint="default" w:ascii="Times New Roman" w:hAnsi="Times New Roman" w:cs="Times New Roman"/>
          <w:sz w:val="24"/>
          <w:szCs w:val="24"/>
        </w:rPr>
        <w:t>The APEC BCG Award was originally funded by Canada; China; Hong Kong, China; and Thailand. Other interested economies are also welcome to make contributions to support the Award on a voluntary basis</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w:t>
      </w:r>
    </w:p>
    <w:p w14:paraId="14AF522B">
      <w:pPr>
        <w:spacing w:after="0" w:line="560" w:lineRule="exact"/>
        <w:jc w:val="both"/>
        <w:rPr>
          <w:rFonts w:hint="default" w:ascii="Times New Roman" w:hAnsi="Times New Roman" w:cs="Times New Roman"/>
          <w:sz w:val="24"/>
          <w:szCs w:val="24"/>
        </w:rPr>
      </w:pPr>
    </w:p>
    <w:p w14:paraId="0E22A554">
      <w:pPr>
        <w:spacing w:after="0" w:line="560" w:lineRule="exact"/>
        <w:jc w:val="both"/>
        <w:rPr>
          <w:rFonts w:hint="default" w:ascii="Times New Roman" w:hAnsi="Times New Roman" w:cs="Times New Roman"/>
        </w:rPr>
      </w:pPr>
      <w:r>
        <w:rPr>
          <w:rFonts w:hint="default" w:ascii="Times New Roman" w:hAnsi="Times New Roman" w:cs="Times New Roman"/>
          <w:sz w:val="24"/>
          <w:szCs w:val="24"/>
        </w:rPr>
        <w:t>The APEC Secretariat will manage the contributions and will charge a management fee of 2% per contribution</w:t>
      </w:r>
      <w:r>
        <w:rPr>
          <w:rFonts w:hint="default" w:ascii="Times New Roman" w:hAnsi="Times New Roman" w:cs="Times New Roman"/>
          <w:sz w:val="24"/>
          <w:szCs w:val="24"/>
          <w:vertAlign w:val="superscript"/>
        </w:rPr>
        <w:t>4</w:t>
      </w:r>
      <w:r>
        <w:rPr>
          <w:rFonts w:hint="default" w:ascii="Times New Roman" w:hAnsi="Times New Roman" w:cs="Times New Roman"/>
          <w:sz w:val="24"/>
          <w:szCs w:val="24"/>
        </w:rPr>
        <w:t>. The APEC Secretariat will also keep financial records relating to the APEC BCG Award and make records available to the contributors for audit and inspection upon request by the contributor(s).</w:t>
      </w:r>
    </w:p>
    <w:p w14:paraId="0CE229EF">
      <w:pPr>
        <w:spacing w:after="0" w:line="560" w:lineRule="exact"/>
        <w:jc w:val="both"/>
        <w:rPr>
          <w:rFonts w:hint="default" w:ascii="Times New Roman" w:hAnsi="Times New Roman" w:cs="Times New Roman"/>
        </w:rPr>
      </w:pPr>
    </w:p>
    <w:p w14:paraId="5677D822">
      <w:pPr>
        <w:spacing w:after="0" w:line="560" w:lineRule="exact"/>
        <w:jc w:val="both"/>
        <w:rPr>
          <w:rFonts w:hint="default" w:ascii="Times New Roman" w:hAnsi="Times New Roman" w:cs="Times New Roman"/>
        </w:rPr>
      </w:pPr>
      <w:r>
        <w:rPr>
          <w:rFonts w:hint="default" w:ascii="Times New Roman" w:hAnsi="Times New Roman" w:cs="Times New Roman"/>
        </w:rPr>
        <w:t>* * * * *</w:t>
      </w:r>
    </w:p>
    <w:p w14:paraId="4EAB7235">
      <w:pPr>
        <w:pStyle w:val="5"/>
        <w:numPr>
          <w:ilvl w:val="0"/>
          <w:numId w:val="1"/>
        </w:numPr>
        <w:spacing w:after="0" w:line="560" w:lineRule="exact"/>
        <w:ind w:firstLineChars="0"/>
        <w:contextualSpacing/>
        <w:rPr>
          <w:rFonts w:hint="default" w:ascii="Times New Roman" w:hAnsi="Times New Roman" w:cs="Times New Roman"/>
          <w:sz w:val="16"/>
          <w:szCs w:val="16"/>
        </w:rPr>
      </w:pPr>
      <w:r>
        <w:rPr>
          <w:rFonts w:hint="default" w:ascii="Times New Roman" w:hAnsi="Times New Roman" w:cs="Times New Roman"/>
          <w:sz w:val="16"/>
          <w:szCs w:val="16"/>
        </w:rPr>
        <w:t>Approved by the PSU Board on 22 March 2023</w:t>
      </w:r>
    </w:p>
    <w:p w14:paraId="22493DA3">
      <w:pPr>
        <w:pStyle w:val="5"/>
        <w:numPr>
          <w:ilvl w:val="0"/>
          <w:numId w:val="1"/>
        </w:numPr>
        <w:spacing w:after="0" w:line="560" w:lineRule="exact"/>
        <w:ind w:firstLineChars="0"/>
        <w:contextualSpacing/>
        <w:rPr>
          <w:rFonts w:hint="default" w:ascii="Times New Roman" w:hAnsi="Times New Roman" w:cs="Times New Roman"/>
          <w:sz w:val="16"/>
          <w:szCs w:val="16"/>
        </w:rPr>
      </w:pPr>
      <w:r>
        <w:rPr>
          <w:rFonts w:hint="default" w:ascii="Times New Roman" w:hAnsi="Times New Roman" w:cs="Times New Roman"/>
          <w:sz w:val="16"/>
          <w:szCs w:val="16"/>
        </w:rPr>
        <w:t>Following AMM, the SCE Programme Director will provide the list of winners and their relevant bank information to the Finance Section to process cash transfers.</w:t>
      </w:r>
    </w:p>
    <w:p w14:paraId="6ECE5CA5">
      <w:pPr>
        <w:pStyle w:val="5"/>
        <w:numPr>
          <w:ilvl w:val="0"/>
          <w:numId w:val="1"/>
        </w:numPr>
        <w:spacing w:after="0" w:line="560" w:lineRule="exact"/>
        <w:ind w:firstLineChars="0"/>
        <w:contextualSpacing/>
        <w:jc w:val="both"/>
        <w:rPr>
          <w:rFonts w:hint="default" w:ascii="Times New Roman" w:hAnsi="Times New Roman" w:cs="Times New Roman"/>
          <w:sz w:val="16"/>
          <w:szCs w:val="16"/>
        </w:rPr>
      </w:pPr>
      <w:r>
        <w:rPr>
          <w:rFonts w:hint="default" w:ascii="Times New Roman" w:hAnsi="Times New Roman" w:cs="Times New Roman"/>
          <w:sz w:val="16"/>
          <w:szCs w:val="16"/>
        </w:rPr>
        <w:t>Economies may write to the SCE Programme Director to express interest in contributing to the APEC BCG Award Fund. Upon receipt of an expression of interest, the APEC Secretariat may issue the request letter to the interested economies for the transfer of contributions.</w:t>
      </w:r>
    </w:p>
    <w:p w14:paraId="7DC51C40">
      <w:pPr>
        <w:pStyle w:val="5"/>
        <w:numPr>
          <w:ilvl w:val="0"/>
          <w:numId w:val="1"/>
        </w:numPr>
        <w:spacing w:after="0" w:line="560" w:lineRule="exact"/>
        <w:ind w:firstLineChars="0"/>
        <w:contextualSpacing/>
        <w:jc w:val="both"/>
        <w:rPr>
          <w:rFonts w:hint="default" w:ascii="Times New Roman" w:hAnsi="Times New Roman" w:cs="Times New Roman"/>
          <w:sz w:val="16"/>
          <w:szCs w:val="16"/>
        </w:rPr>
      </w:pPr>
      <w:r>
        <w:rPr>
          <w:rFonts w:hint="default" w:ascii="Times New Roman" w:hAnsi="Times New Roman" w:cs="Times New Roman"/>
          <w:sz w:val="16"/>
          <w:szCs w:val="16"/>
        </w:rPr>
        <w:t>The Secretariat will collect a management fee of 2% per contribution, which would be transferred to the Secretariat Account for better support of the Secretariat’s operational budget process.</w:t>
      </w:r>
    </w:p>
    <w:p w14:paraId="5D91E54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B66A4"/>
    <w:multiLevelType w:val="multilevel"/>
    <w:tmpl w:val="78BB66A4"/>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C2AB4"/>
    <w:rsid w:val="049C2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ptos" w:hAnsi="Aptos" w:eastAsia="Aptos" w:cs="Arial"/>
      <w:kern w:val="2"/>
      <w:sz w:val="22"/>
      <w:szCs w:val="22"/>
      <w:lang w:val="en-SG" w:eastAsia="en-US"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widowControl w:val="0"/>
      <w:autoSpaceDE w:val="0"/>
      <w:autoSpaceDN w:val="0"/>
      <w:spacing w:after="0" w:line="240" w:lineRule="auto"/>
      <w:ind w:left="107"/>
    </w:pPr>
    <w:rPr>
      <w:rFonts w:ascii="Arial" w:hAnsi="Arial" w:eastAsia="Arial" w:cs="Times New Roman"/>
      <w:kern w:val="0"/>
      <w14:ligatures w14:val="none"/>
    </w:rPr>
  </w:style>
  <w:style w:type="paragraph" w:styleId="5">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2025-04-09T06:41:00Z</dcterms:created>
  <dc:creator>赵佳义</dc:creator>
  <cp:lastModifiedBy>赵佳义</cp:lastModifiedBy>
  <dcterms:modified xsi:type="dcterms:W3CDTF">2025-04-09T06:41:21Z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4628F327A8434D3B82F79C8564485CFC_11</vt:lpwstr>
  </property>
  <property fmtid="{D5CDD505-2E9C-101B-9397-08002B2CF9AE}" pid="4" name="KSOTemplateDocerSaveRecord">
    <vt:lpwstr>eyJoZGlkIjoiYjFjMzVlYjNiNjNkMDNkZmRhZTM5YjI0N2Q5YmQ4NjAiLCJ1c2VySWQiOiIzMTY2OTU1MDkifQ==</vt:lpwstr>
  </property>
</Properties>
</file>