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D236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附件2 </w:t>
      </w:r>
    </w:p>
    <w:p w14:paraId="0CA8065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产品信息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表</w:t>
      </w:r>
    </w:p>
    <w:p w14:paraId="44FA970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（可根据申报数量增减表格，每个产品单独填写）</w:t>
      </w:r>
    </w:p>
    <w:tbl>
      <w:tblPr>
        <w:tblStyle w:val="2"/>
        <w:tblpPr w:leftFromText="181" w:rightFromText="181" w:vertAnchor="page" w:horzAnchor="page" w:tblpX="1762" w:tblpY="3882"/>
        <w:tblOverlap w:val="never"/>
        <w:tblW w:w="48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6674"/>
      </w:tblGrid>
      <w:tr w14:paraId="1DDA7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03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C09DC2A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3896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3D8BBA0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353D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03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8381657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所属领域</w:t>
            </w:r>
          </w:p>
        </w:tc>
        <w:tc>
          <w:tcPr>
            <w:tcW w:w="3896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10FB343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品牌建设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市场营销 （可多选，需对应具体子类型）</w:t>
            </w:r>
          </w:p>
        </w:tc>
      </w:tr>
      <w:tr w14:paraId="28FD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03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166A88C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具体子类型</w:t>
            </w:r>
          </w:p>
        </w:tc>
        <w:tc>
          <w:tcPr>
            <w:tcW w:w="3896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ADF8938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品牌战略规划服务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品牌活动运营服务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品牌舆情管理服务 </w:t>
            </w:r>
          </w:p>
          <w:p w14:paraId="51259465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4E4D883B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媒体资源整合服务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出海营销服务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效果营销服务</w:t>
            </w:r>
          </w:p>
          <w:p w14:paraId="68BF304B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  <w:p w14:paraId="21E3D817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全案品牌营销服务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互联网电视广告营销服务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其他（请注明）</w:t>
            </w:r>
          </w:p>
        </w:tc>
      </w:tr>
      <w:tr w14:paraId="2EE6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03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D8D012D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产品上线时间</w:t>
            </w:r>
          </w:p>
        </w:tc>
        <w:tc>
          <w:tcPr>
            <w:tcW w:w="3896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6F7E428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1C6C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03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5A86434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知识产权情况</w:t>
            </w:r>
          </w:p>
        </w:tc>
        <w:tc>
          <w:tcPr>
            <w:tcW w:w="3896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BD63272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（列出专利、商标、著作权等，附证明材料）</w:t>
            </w:r>
          </w:p>
        </w:tc>
      </w:tr>
      <w:tr w14:paraId="05C0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03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0218868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服务体系说明</w:t>
            </w:r>
          </w:p>
        </w:tc>
        <w:tc>
          <w:tcPr>
            <w:tcW w:w="3896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CC3FA00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（含服务流程、质量管控机制等）</w:t>
            </w:r>
          </w:p>
        </w:tc>
      </w:tr>
      <w:tr w14:paraId="607E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03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2AEEB9D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售后服务内容</w:t>
            </w:r>
          </w:p>
        </w:tc>
        <w:tc>
          <w:tcPr>
            <w:tcW w:w="3896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AFC5244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（含客户反馈处理、服务效果跟踪等方式）</w:t>
            </w:r>
          </w:p>
        </w:tc>
      </w:tr>
      <w:tr w14:paraId="6A7F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03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67DE67B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收费标准</w:t>
            </w:r>
          </w:p>
        </w:tc>
        <w:tc>
          <w:tcPr>
            <w:tcW w:w="3896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DE1C45F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（明确套餐方案、计费方式等）</w:t>
            </w:r>
          </w:p>
        </w:tc>
      </w:tr>
      <w:tr w14:paraId="39B59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03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546469F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中小企业用户数量</w:t>
            </w:r>
          </w:p>
        </w:tc>
        <w:tc>
          <w:tcPr>
            <w:tcW w:w="3896" w:type="pct"/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15B416A">
            <w:pPr>
              <w:widowControl w:val="0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（附用户清单）</w:t>
            </w:r>
          </w:p>
        </w:tc>
      </w:tr>
    </w:tbl>
    <w:p w14:paraId="0683374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1B56861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0CBEEC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40F59"/>
    <w:rsid w:val="10AB6468"/>
    <w:rsid w:val="26A4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2025-09-18T02:13:00Z</dcterms:created>
  <dc:creator>赵佳义</dc:creator>
  <cp:lastModifiedBy>赵佳义</cp:lastModifiedBy>
  <dcterms:modified xsi:type="dcterms:W3CDTF">2025-09-18T02:15:10Z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75B43C3919424BCE8879E7A64B30CA1A_11</vt:lpwstr>
  </property>
  <property fmtid="{D5CDD505-2E9C-101B-9397-08002B2CF9AE}" pid="4" name="KSOTemplateDocerSaveRecord">
    <vt:lpwstr>eyJoZGlkIjoiYjFjMzVlYjNiNjNkMDNkZmRhZTM5YjI0N2Q5YmQ4NjAiLCJ1c2VySWQiOiIzMTY2OTU1MDkifQ==</vt:lpwstr>
  </property>
</Properties>
</file>