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D2382" w14:textId="77777777" w:rsidR="00DC3E67" w:rsidRPr="00DC3E67" w:rsidRDefault="00DC3E67" w:rsidP="00DC3E67">
      <w:pPr>
        <w:spacing w:line="580" w:lineRule="exact"/>
        <w:rPr>
          <w:rFonts w:eastAsia="仿宋_GB2312" w:cs="Times New Roman"/>
          <w:sz w:val="32"/>
          <w:szCs w:val="32"/>
        </w:rPr>
      </w:pPr>
      <w:bookmarkStart w:id="0" w:name="_Hlk209602334"/>
      <w:r w:rsidRPr="00DC3E67">
        <w:rPr>
          <w:rFonts w:eastAsia="仿宋_GB2312" w:cs="Times New Roman"/>
          <w:sz w:val="32"/>
          <w:szCs w:val="32"/>
        </w:rPr>
        <w:t>附件</w:t>
      </w:r>
      <w:r w:rsidRPr="00DC3E67">
        <w:rPr>
          <w:rFonts w:eastAsia="仿宋_GB2312" w:cs="Times New Roman"/>
          <w:sz w:val="32"/>
          <w:szCs w:val="32"/>
        </w:rPr>
        <w:t>2</w:t>
      </w:r>
    </w:p>
    <w:p w14:paraId="2C98254A" w14:textId="77777777" w:rsidR="00DC3E67" w:rsidRPr="00DC3E67" w:rsidRDefault="00DC3E67" w:rsidP="00DC3E67">
      <w:pPr>
        <w:spacing w:line="580" w:lineRule="exact"/>
        <w:jc w:val="center"/>
        <w:rPr>
          <w:rFonts w:eastAsia="方正小标宋_GBK" w:cs="Times New Roman"/>
          <w:color w:val="000000"/>
          <w:kern w:val="0"/>
          <w:sz w:val="44"/>
          <w:szCs w:val="44"/>
          <w:lang w:bidi="ar"/>
        </w:rPr>
      </w:pPr>
      <w:r w:rsidRPr="00DC3E67">
        <w:rPr>
          <w:rFonts w:eastAsia="方正小标宋_GBK" w:cs="Times New Roman"/>
          <w:color w:val="000000"/>
          <w:kern w:val="0"/>
          <w:sz w:val="44"/>
          <w:szCs w:val="44"/>
          <w:lang w:bidi="ar"/>
        </w:rPr>
        <w:t>路</w:t>
      </w:r>
      <w:proofErr w:type="gramStart"/>
      <w:r w:rsidRPr="00DC3E67">
        <w:rPr>
          <w:rFonts w:eastAsia="方正小标宋_GBK" w:cs="Times New Roman"/>
          <w:color w:val="000000"/>
          <w:kern w:val="0"/>
          <w:sz w:val="44"/>
          <w:szCs w:val="44"/>
          <w:lang w:bidi="ar"/>
        </w:rPr>
        <w:t>演项目</w:t>
      </w:r>
      <w:proofErr w:type="gramEnd"/>
      <w:r w:rsidRPr="00DC3E67">
        <w:rPr>
          <w:rFonts w:eastAsia="方正小标宋_GBK" w:cs="Times New Roman"/>
          <w:color w:val="000000"/>
          <w:kern w:val="0"/>
          <w:sz w:val="44"/>
          <w:szCs w:val="44"/>
          <w:lang w:bidi="ar"/>
        </w:rPr>
        <w:t>简介</w:t>
      </w:r>
    </w:p>
    <w:tbl>
      <w:tblPr>
        <w:tblStyle w:val="ae"/>
        <w:tblW w:w="0" w:type="auto"/>
        <w:tblInd w:w="0" w:type="dxa"/>
        <w:tblLook w:val="0000" w:firstRow="0" w:lastRow="0" w:firstColumn="0" w:lastColumn="0" w:noHBand="0" w:noVBand="0"/>
      </w:tblPr>
      <w:tblGrid>
        <w:gridCol w:w="876"/>
        <w:gridCol w:w="2067"/>
        <w:gridCol w:w="1569"/>
        <w:gridCol w:w="9436"/>
      </w:tblGrid>
      <w:tr w:rsidR="00DC3E67" w:rsidRPr="00DC3E67" w14:paraId="4632FBF2" w14:textId="77777777" w:rsidTr="00AF4DC5">
        <w:tc>
          <w:tcPr>
            <w:tcW w:w="878" w:type="dxa"/>
          </w:tcPr>
          <w:p w14:paraId="63DB5A4D" w14:textId="77777777" w:rsidR="00DC3E67" w:rsidRPr="00DC3E67" w:rsidRDefault="00DC3E67" w:rsidP="00DC3E67">
            <w:pPr>
              <w:spacing w:line="580" w:lineRule="exact"/>
              <w:jc w:val="center"/>
              <w:rPr>
                <w:rFonts w:eastAsia="方正小标宋_GBK" w:hint="eastAsia"/>
                <w:color w:val="000000"/>
                <w:sz w:val="44"/>
                <w:szCs w:val="44"/>
                <w:lang w:bidi="ar"/>
              </w:rPr>
            </w:pPr>
            <w:r w:rsidRPr="00DC3E67">
              <w:rPr>
                <w:rFonts w:eastAsia="仿宋_GB2312" w:hint="eastAsia"/>
                <w:b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70" w:type="dxa"/>
            <w:shd w:val="clear" w:color="auto" w:fill="F2F2F2"/>
          </w:tcPr>
          <w:p w14:paraId="712434AE" w14:textId="77777777" w:rsidR="00DC3E67" w:rsidRPr="00DC3E67" w:rsidRDefault="00DC3E67" w:rsidP="00DC3E67">
            <w:pPr>
              <w:spacing w:line="580" w:lineRule="exact"/>
              <w:jc w:val="center"/>
              <w:rPr>
                <w:rFonts w:eastAsia="仿宋_GB2312" w:hint="eastAsia"/>
                <w:b/>
                <w:bCs/>
                <w:color w:val="000000"/>
                <w:sz w:val="28"/>
                <w:szCs w:val="28"/>
                <w:lang w:bidi="ar"/>
              </w:rPr>
            </w:pPr>
            <w:r w:rsidRPr="00DC3E67">
              <w:rPr>
                <w:rFonts w:eastAsia="仿宋_GB2312"/>
                <w:b/>
                <w:bCs/>
                <w:color w:val="000000"/>
                <w:sz w:val="28"/>
                <w:szCs w:val="28"/>
                <w:lang w:bidi="ar"/>
              </w:rPr>
              <w:t>企业</w:t>
            </w:r>
            <w:r w:rsidRPr="00DC3E67">
              <w:rPr>
                <w:rFonts w:eastAsia="仿宋_GB2312" w:hint="eastAsia"/>
                <w:b/>
                <w:bCs/>
                <w:color w:val="000000"/>
                <w:sz w:val="28"/>
                <w:szCs w:val="28"/>
                <w:lang w:bidi="ar"/>
              </w:rPr>
              <w:t>/</w:t>
            </w:r>
            <w:r w:rsidRPr="00DC3E67">
              <w:rPr>
                <w:rFonts w:eastAsia="仿宋_GB2312" w:hint="eastAsia"/>
                <w:b/>
                <w:bCs/>
                <w:color w:val="000000"/>
                <w:sz w:val="28"/>
                <w:szCs w:val="28"/>
                <w:lang w:bidi="ar"/>
              </w:rPr>
              <w:t>项目</w:t>
            </w:r>
            <w:r w:rsidRPr="00DC3E67">
              <w:rPr>
                <w:rFonts w:eastAsia="仿宋_GB2312"/>
                <w:b/>
                <w:bCs/>
                <w:color w:val="00000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575" w:type="dxa"/>
            <w:shd w:val="clear" w:color="auto" w:fill="F2F2F2"/>
          </w:tcPr>
          <w:p w14:paraId="1505E8F4" w14:textId="77777777" w:rsidR="00DC3E67" w:rsidRPr="00DC3E67" w:rsidRDefault="00DC3E67" w:rsidP="00DC3E67">
            <w:pPr>
              <w:spacing w:line="580" w:lineRule="exact"/>
              <w:jc w:val="center"/>
              <w:rPr>
                <w:rFonts w:eastAsia="仿宋_GB2312" w:hint="eastAsia"/>
                <w:b/>
                <w:bCs/>
                <w:color w:val="000000"/>
                <w:sz w:val="28"/>
                <w:szCs w:val="28"/>
                <w:lang w:bidi="ar"/>
              </w:rPr>
            </w:pPr>
            <w:r w:rsidRPr="00DC3E67">
              <w:rPr>
                <w:rFonts w:eastAsia="仿宋_GB2312"/>
                <w:b/>
                <w:bCs/>
                <w:color w:val="000000"/>
                <w:sz w:val="28"/>
                <w:szCs w:val="28"/>
                <w:lang w:bidi="ar"/>
              </w:rPr>
              <w:t>国家</w:t>
            </w:r>
          </w:p>
        </w:tc>
        <w:tc>
          <w:tcPr>
            <w:tcW w:w="9480" w:type="dxa"/>
            <w:shd w:val="clear" w:color="auto" w:fill="F2F2F2"/>
          </w:tcPr>
          <w:p w14:paraId="1EC6A84B" w14:textId="77777777" w:rsidR="00DC3E67" w:rsidRPr="00DC3E67" w:rsidRDefault="00DC3E67" w:rsidP="00DC3E67">
            <w:pPr>
              <w:spacing w:line="580" w:lineRule="exact"/>
              <w:jc w:val="center"/>
              <w:rPr>
                <w:rFonts w:eastAsia="仿宋_GB2312" w:hint="eastAsia"/>
                <w:b/>
                <w:bCs/>
                <w:color w:val="000000"/>
                <w:sz w:val="28"/>
                <w:szCs w:val="28"/>
                <w:lang w:bidi="ar"/>
              </w:rPr>
            </w:pPr>
            <w:r w:rsidRPr="00DC3E67">
              <w:rPr>
                <w:rFonts w:eastAsia="仿宋_GB2312"/>
                <w:b/>
                <w:bCs/>
                <w:color w:val="000000"/>
                <w:sz w:val="28"/>
                <w:szCs w:val="28"/>
                <w:lang w:bidi="ar"/>
              </w:rPr>
              <w:t>项目简介</w:t>
            </w:r>
          </w:p>
        </w:tc>
      </w:tr>
      <w:tr w:rsidR="00DC3E67" w:rsidRPr="00DC3E67" w14:paraId="791F513F" w14:textId="77777777" w:rsidTr="00AF4DC5">
        <w:tc>
          <w:tcPr>
            <w:tcW w:w="878" w:type="dxa"/>
          </w:tcPr>
          <w:p w14:paraId="2CF83D52" w14:textId="77777777" w:rsidR="00DC3E67" w:rsidRPr="00DC3E67" w:rsidRDefault="00DC3E67" w:rsidP="00DC3E67">
            <w:pPr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  <w:lang w:bidi="ar"/>
              </w:rPr>
            </w:pPr>
            <w:r w:rsidRPr="00DC3E67">
              <w:rPr>
                <w:rFonts w:eastAsia="仿宋_GB2312" w:hint="eastAsia"/>
                <w:b/>
                <w:bCs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2070" w:type="dxa"/>
          </w:tcPr>
          <w:p w14:paraId="4A55346D" w14:textId="77777777" w:rsidR="00DC3E67" w:rsidRPr="00DC3E67" w:rsidRDefault="00DC3E67" w:rsidP="00DC3E67">
            <w:pPr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  <w:lang w:bidi="ar"/>
              </w:rPr>
            </w:pPr>
            <w:r w:rsidRPr="00DC3E67">
              <w:rPr>
                <w:rFonts w:eastAsia="仿宋_GB2312"/>
                <w:b/>
                <w:bCs/>
                <w:color w:val="000000"/>
                <w:sz w:val="28"/>
                <w:szCs w:val="28"/>
                <w:lang w:bidi="ar"/>
              </w:rPr>
              <w:t>Ard Credit</w:t>
            </w:r>
          </w:p>
        </w:tc>
        <w:tc>
          <w:tcPr>
            <w:tcW w:w="1575" w:type="dxa"/>
          </w:tcPr>
          <w:p w14:paraId="41C917EF" w14:textId="77777777" w:rsidR="00DC3E67" w:rsidRPr="00DC3E67" w:rsidRDefault="00DC3E67" w:rsidP="00DC3E67">
            <w:pPr>
              <w:spacing w:line="580" w:lineRule="exact"/>
              <w:jc w:val="center"/>
              <w:rPr>
                <w:rFonts w:eastAsia="仿宋_GB2312"/>
                <w:color w:val="000000"/>
                <w:sz w:val="28"/>
                <w:szCs w:val="28"/>
                <w:lang w:bidi="ar"/>
              </w:rPr>
            </w:pP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蒙古</w:t>
            </w:r>
          </w:p>
        </w:tc>
        <w:tc>
          <w:tcPr>
            <w:tcW w:w="9480" w:type="dxa"/>
          </w:tcPr>
          <w:p w14:paraId="5AA7F999" w14:textId="77777777" w:rsidR="00DC3E67" w:rsidRPr="00DC3E67" w:rsidRDefault="00DC3E67" w:rsidP="00DC3E67">
            <w:pPr>
              <w:spacing w:line="580" w:lineRule="exact"/>
              <w:jc w:val="left"/>
              <w:rPr>
                <w:rFonts w:eastAsia="仿宋_GB2312"/>
                <w:color w:val="000000"/>
                <w:sz w:val="28"/>
                <w:szCs w:val="28"/>
                <w:lang w:bidi="ar"/>
              </w:rPr>
            </w:pP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成立于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2011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年，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Ard Credit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是蒙古首家公开上市的非银行金融机构。公司持有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9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项金融牌照，数字化金融平台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“Ard App”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覆盖用户超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110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万，相当于蒙古约三分之一人口。其业务涵盖贷款、支付、保险、证券交易、跨境汇款等完整链条。公司积极与蒙古邮政合作，使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95%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的偏远地区能够享受普惠金融服务。其区块链积分系统已整合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700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余商户，提升生态黏性。公司资产达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337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亿美元，年</w:t>
            </w:r>
            <w:proofErr w:type="gramStart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增速超</w:t>
            </w:r>
            <w:proofErr w:type="gramEnd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60%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，被视为蒙古数字金融领域的领军者。</w:t>
            </w:r>
          </w:p>
        </w:tc>
      </w:tr>
      <w:tr w:rsidR="00DC3E67" w:rsidRPr="00DC3E67" w14:paraId="0C209CB9" w14:textId="77777777" w:rsidTr="00AF4DC5">
        <w:tc>
          <w:tcPr>
            <w:tcW w:w="878" w:type="dxa"/>
          </w:tcPr>
          <w:p w14:paraId="417CE8F4" w14:textId="77777777" w:rsidR="00DC3E67" w:rsidRPr="00DC3E67" w:rsidRDefault="00DC3E67" w:rsidP="00DC3E67">
            <w:pPr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  <w:lang w:bidi="ar"/>
              </w:rPr>
            </w:pPr>
            <w:r w:rsidRPr="00DC3E67">
              <w:rPr>
                <w:rFonts w:eastAsia="仿宋_GB2312" w:hint="eastAsia"/>
                <w:b/>
                <w:bCs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2070" w:type="dxa"/>
          </w:tcPr>
          <w:p w14:paraId="7001B746" w14:textId="77777777" w:rsidR="00DC3E67" w:rsidRPr="00DC3E67" w:rsidRDefault="00DC3E67" w:rsidP="00DC3E67">
            <w:pPr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  <w:lang w:bidi="ar"/>
              </w:rPr>
            </w:pPr>
            <w:r w:rsidRPr="00DC3E67">
              <w:rPr>
                <w:rFonts w:eastAsia="仿宋_GB2312"/>
                <w:b/>
                <w:bCs/>
                <w:color w:val="000000"/>
                <w:sz w:val="28"/>
                <w:szCs w:val="28"/>
                <w:lang w:bidi="ar"/>
              </w:rPr>
              <w:t>Gerege Systems</w:t>
            </w:r>
          </w:p>
        </w:tc>
        <w:tc>
          <w:tcPr>
            <w:tcW w:w="1575" w:type="dxa"/>
          </w:tcPr>
          <w:p w14:paraId="0CE0E215" w14:textId="77777777" w:rsidR="00DC3E67" w:rsidRPr="00DC3E67" w:rsidRDefault="00DC3E67" w:rsidP="00DC3E67">
            <w:pPr>
              <w:spacing w:line="580" w:lineRule="exact"/>
              <w:jc w:val="center"/>
              <w:rPr>
                <w:rFonts w:eastAsia="仿宋_GB2312"/>
                <w:color w:val="000000"/>
                <w:sz w:val="28"/>
                <w:szCs w:val="28"/>
                <w:lang w:bidi="ar"/>
              </w:rPr>
            </w:pP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蒙古</w:t>
            </w:r>
          </w:p>
        </w:tc>
        <w:tc>
          <w:tcPr>
            <w:tcW w:w="9480" w:type="dxa"/>
          </w:tcPr>
          <w:p w14:paraId="2A4DF79A" w14:textId="77777777" w:rsidR="00DC3E67" w:rsidRPr="00DC3E67" w:rsidRDefault="00DC3E67" w:rsidP="00DC3E67">
            <w:pPr>
              <w:spacing w:line="580" w:lineRule="exact"/>
              <w:jc w:val="left"/>
              <w:rPr>
                <w:rFonts w:eastAsia="仿宋_GB2312"/>
                <w:color w:val="000000"/>
                <w:sz w:val="28"/>
                <w:szCs w:val="28"/>
                <w:lang w:bidi="ar"/>
              </w:rPr>
            </w:pP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Gerege Systems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于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2018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年创立，是蒙古领先的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IT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与金融科技企业。团队由数学编程奥赛冠军组成，现已覆盖全国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92%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人口，用户达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320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万。公司在全国布设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1000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余台自助服务亭，提供政府、医疗、教育及金融等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600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多项服务。疫情期间，其开发的</w:t>
            </w:r>
            <w:proofErr w:type="spellStart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HealthMN</w:t>
            </w:r>
            <w:proofErr w:type="spellEnd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系统支持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720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万次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PCR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检测，实现社会数字化赋能。业务已拓展至乌兹别克斯坦、吉尔吉斯斯坦等中亚国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lastRenderedPageBreak/>
              <w:t>家。凭借在政府数字化与普惠服务上的实践，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Gerege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正致力于打造中亚地区数字化转型典范。</w:t>
            </w:r>
          </w:p>
        </w:tc>
      </w:tr>
      <w:tr w:rsidR="00DC3E67" w:rsidRPr="00DC3E67" w14:paraId="4CDC9F05" w14:textId="77777777" w:rsidTr="00AF4DC5">
        <w:tc>
          <w:tcPr>
            <w:tcW w:w="878" w:type="dxa"/>
          </w:tcPr>
          <w:p w14:paraId="5A292D83" w14:textId="77777777" w:rsidR="00DC3E67" w:rsidRPr="00DC3E67" w:rsidRDefault="00DC3E67" w:rsidP="00DC3E67">
            <w:pPr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  <w:lang w:bidi="ar"/>
              </w:rPr>
            </w:pPr>
            <w:r w:rsidRPr="00DC3E67">
              <w:rPr>
                <w:rFonts w:eastAsia="仿宋_GB2312" w:hint="eastAsia"/>
                <w:b/>
                <w:bCs/>
                <w:color w:val="000000"/>
                <w:sz w:val="28"/>
                <w:szCs w:val="28"/>
                <w:lang w:bidi="ar"/>
              </w:rPr>
              <w:lastRenderedPageBreak/>
              <w:t>3</w:t>
            </w:r>
          </w:p>
        </w:tc>
        <w:tc>
          <w:tcPr>
            <w:tcW w:w="2070" w:type="dxa"/>
          </w:tcPr>
          <w:p w14:paraId="78C3DF4A" w14:textId="77777777" w:rsidR="00DC3E67" w:rsidRPr="00DC3E67" w:rsidRDefault="00DC3E67" w:rsidP="00DC3E67">
            <w:pPr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  <w:lang w:bidi="ar"/>
              </w:rPr>
            </w:pPr>
            <w:proofErr w:type="spellStart"/>
            <w:r w:rsidRPr="00DC3E67">
              <w:rPr>
                <w:rFonts w:eastAsia="仿宋_GB2312"/>
                <w:b/>
                <w:bCs/>
                <w:color w:val="000000"/>
                <w:sz w:val="28"/>
                <w:szCs w:val="28"/>
                <w:lang w:bidi="ar"/>
              </w:rPr>
              <w:t>Intelmind</w:t>
            </w:r>
            <w:proofErr w:type="spellEnd"/>
          </w:p>
        </w:tc>
        <w:tc>
          <w:tcPr>
            <w:tcW w:w="1575" w:type="dxa"/>
          </w:tcPr>
          <w:p w14:paraId="0D5A1EE2" w14:textId="77777777" w:rsidR="00DC3E67" w:rsidRPr="00DC3E67" w:rsidRDefault="00DC3E67" w:rsidP="00DC3E67">
            <w:pPr>
              <w:spacing w:line="580" w:lineRule="exact"/>
              <w:jc w:val="center"/>
              <w:rPr>
                <w:rFonts w:eastAsia="仿宋_GB2312"/>
                <w:color w:val="000000"/>
                <w:sz w:val="28"/>
                <w:szCs w:val="28"/>
                <w:lang w:bidi="ar"/>
              </w:rPr>
            </w:pP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蒙古</w:t>
            </w:r>
          </w:p>
        </w:tc>
        <w:tc>
          <w:tcPr>
            <w:tcW w:w="9480" w:type="dxa"/>
          </w:tcPr>
          <w:p w14:paraId="555F8776" w14:textId="77777777" w:rsidR="00DC3E67" w:rsidRPr="00DC3E67" w:rsidRDefault="00DC3E67" w:rsidP="00DC3E67">
            <w:pPr>
              <w:spacing w:line="580" w:lineRule="exact"/>
              <w:jc w:val="left"/>
              <w:rPr>
                <w:rFonts w:eastAsia="仿宋_GB2312"/>
                <w:color w:val="000000"/>
                <w:sz w:val="28"/>
                <w:szCs w:val="28"/>
                <w:lang w:bidi="ar"/>
              </w:rPr>
            </w:pPr>
            <w:proofErr w:type="spellStart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Intelmind</w:t>
            </w:r>
            <w:proofErr w:type="spellEnd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成立于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2023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年，总部位于蒙古乌兰巴托，是一家创新型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Venture Studio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，致力于构建可持续发展的跨境电商生态。核心团队源自阿里巴巴、字节跳动等</w:t>
            </w:r>
            <w:proofErr w:type="gramStart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知名科技</w:t>
            </w:r>
            <w:proofErr w:type="gramEnd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公司，具备电</w:t>
            </w:r>
            <w:proofErr w:type="gramStart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商系统</w:t>
            </w:r>
            <w:proofErr w:type="gramEnd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研发、供应链管理及多语言本地化服务经验。集团业务涵盖电商平台开发、海外仓及物流履约、多渠道支付接入与内容本地化；旗下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ShoppyHub.mn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平台日均</w:t>
            </w:r>
            <w:proofErr w:type="gramStart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订单超</w:t>
            </w:r>
            <w:proofErr w:type="gramEnd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1000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笔，为蒙古市场领先解决方案。凭借与阿里巴巴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1688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、菜</w:t>
            </w:r>
            <w:proofErr w:type="gramStart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鸟网络</w:t>
            </w:r>
            <w:proofErr w:type="gramEnd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的深度合作，</w:t>
            </w:r>
            <w:proofErr w:type="spellStart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Intelmind</w:t>
            </w:r>
            <w:proofErr w:type="spellEnd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业务已覆盖蒙古、中亚五国及非洲市场，并入选</w:t>
            </w:r>
            <w:proofErr w:type="spellStart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FlyAsia“Top</w:t>
            </w:r>
            <w:proofErr w:type="spellEnd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 xml:space="preserve"> 50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科技公司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”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、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EBRD Star Venture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及</w:t>
            </w:r>
            <w:proofErr w:type="spellStart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Silkway</w:t>
            </w:r>
            <w:proofErr w:type="spellEnd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 xml:space="preserve"> Accelerator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项目，助力新兴市场数字贸易升级。</w:t>
            </w:r>
          </w:p>
        </w:tc>
      </w:tr>
      <w:tr w:rsidR="00DC3E67" w:rsidRPr="00DC3E67" w14:paraId="10611672" w14:textId="77777777" w:rsidTr="00AF4DC5">
        <w:tc>
          <w:tcPr>
            <w:tcW w:w="878" w:type="dxa"/>
          </w:tcPr>
          <w:p w14:paraId="46CD64E6" w14:textId="77777777" w:rsidR="00DC3E67" w:rsidRPr="00DC3E67" w:rsidRDefault="00DC3E67" w:rsidP="00DC3E67">
            <w:pPr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  <w:lang w:bidi="ar"/>
              </w:rPr>
            </w:pPr>
            <w:r w:rsidRPr="00DC3E67">
              <w:rPr>
                <w:rFonts w:eastAsia="仿宋_GB2312" w:hint="eastAsia"/>
                <w:b/>
                <w:bCs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2070" w:type="dxa"/>
          </w:tcPr>
          <w:p w14:paraId="50A49C7A" w14:textId="77777777" w:rsidR="00DC3E67" w:rsidRPr="00DC3E67" w:rsidRDefault="00DC3E67" w:rsidP="00DC3E67">
            <w:pPr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  <w:lang w:bidi="ar"/>
              </w:rPr>
            </w:pPr>
            <w:r w:rsidRPr="00DC3E67">
              <w:rPr>
                <w:rFonts w:eastAsia="仿宋_GB2312"/>
                <w:b/>
                <w:bCs/>
                <w:color w:val="000000"/>
                <w:sz w:val="28"/>
                <w:szCs w:val="28"/>
                <w:lang w:bidi="ar"/>
              </w:rPr>
              <w:t>Smart Contract</w:t>
            </w:r>
          </w:p>
        </w:tc>
        <w:tc>
          <w:tcPr>
            <w:tcW w:w="1575" w:type="dxa"/>
          </w:tcPr>
          <w:p w14:paraId="5613D4C1" w14:textId="77777777" w:rsidR="00DC3E67" w:rsidRPr="00DC3E67" w:rsidRDefault="00DC3E67" w:rsidP="00DC3E67">
            <w:pPr>
              <w:spacing w:line="580" w:lineRule="exact"/>
              <w:jc w:val="center"/>
              <w:rPr>
                <w:rFonts w:eastAsia="仿宋_GB2312"/>
                <w:color w:val="000000"/>
                <w:sz w:val="28"/>
                <w:szCs w:val="28"/>
                <w:lang w:bidi="ar"/>
              </w:rPr>
            </w:pP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蒙古</w:t>
            </w:r>
          </w:p>
        </w:tc>
        <w:tc>
          <w:tcPr>
            <w:tcW w:w="9480" w:type="dxa"/>
          </w:tcPr>
          <w:p w14:paraId="51D5C12F" w14:textId="77777777" w:rsidR="00DC3E67" w:rsidRPr="00DC3E67" w:rsidRDefault="00DC3E67" w:rsidP="00DC3E67">
            <w:pPr>
              <w:spacing w:line="580" w:lineRule="exact"/>
              <w:jc w:val="left"/>
              <w:rPr>
                <w:rFonts w:eastAsia="仿宋_GB2312"/>
                <w:color w:val="000000"/>
                <w:sz w:val="28"/>
                <w:szCs w:val="28"/>
                <w:lang w:bidi="ar"/>
              </w:rPr>
            </w:pP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成立于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2023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年，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Smart Contract Mongolia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打造了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E-geree.com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数字合同平台，融合区块链、防篡改存储、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AI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条款解析与跨境电子签名技术。已与教育部、蒙古银行和电信公司合作，处理超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76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万份合同文档。公司提供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100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lastRenderedPageBreak/>
              <w:t>余功能，涵盖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B2B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、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B2G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、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B2C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场景，符合欧盟</w:t>
            </w:r>
            <w:proofErr w:type="spellStart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eIDAS</w:t>
            </w:r>
            <w:proofErr w:type="spellEnd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和美国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ESIGN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标准。其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AI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合同分析器能识别风险并自动校正，用户体验高效、安全。公司计划扩展至中亚市场，目标服务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50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万家企业客户，推动区域合同数字化标准建设。</w:t>
            </w:r>
          </w:p>
        </w:tc>
      </w:tr>
      <w:tr w:rsidR="00DC3E67" w:rsidRPr="00DC3E67" w14:paraId="6DE477E6" w14:textId="77777777" w:rsidTr="00AF4DC5">
        <w:trPr>
          <w:trHeight w:val="530"/>
        </w:trPr>
        <w:tc>
          <w:tcPr>
            <w:tcW w:w="878" w:type="dxa"/>
          </w:tcPr>
          <w:p w14:paraId="77A6DC3E" w14:textId="77777777" w:rsidR="00DC3E67" w:rsidRPr="00DC3E67" w:rsidRDefault="00DC3E67" w:rsidP="00DC3E67">
            <w:pPr>
              <w:spacing w:line="580" w:lineRule="exact"/>
              <w:jc w:val="center"/>
              <w:rPr>
                <w:rFonts w:eastAsia="仿宋_GB2312" w:hint="eastAsia"/>
                <w:b/>
                <w:bCs/>
                <w:color w:val="000000"/>
                <w:sz w:val="28"/>
                <w:szCs w:val="28"/>
                <w:lang w:bidi="ar"/>
              </w:rPr>
            </w:pPr>
          </w:p>
          <w:p w14:paraId="575C25A4" w14:textId="77777777" w:rsidR="00DC3E67" w:rsidRPr="00DC3E67" w:rsidRDefault="00DC3E67" w:rsidP="00DC3E67">
            <w:pPr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  <w:lang w:bidi="ar"/>
              </w:rPr>
            </w:pPr>
            <w:r w:rsidRPr="00DC3E67">
              <w:rPr>
                <w:rFonts w:eastAsia="仿宋_GB2312" w:hint="eastAsia"/>
                <w:b/>
                <w:bCs/>
                <w:color w:val="000000"/>
                <w:sz w:val="28"/>
                <w:szCs w:val="28"/>
                <w:lang w:bidi="ar"/>
              </w:rPr>
              <w:t>5</w:t>
            </w:r>
          </w:p>
          <w:p w14:paraId="051CECCF" w14:textId="77777777" w:rsidR="00DC3E67" w:rsidRPr="00DC3E67" w:rsidRDefault="00DC3E67" w:rsidP="00DC3E67">
            <w:pPr>
              <w:spacing w:line="580" w:lineRule="exact"/>
              <w:jc w:val="center"/>
              <w:rPr>
                <w:rFonts w:eastAsia="仿宋_GB2312" w:hint="eastAsia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2070" w:type="dxa"/>
          </w:tcPr>
          <w:p w14:paraId="41B567B6" w14:textId="77777777" w:rsidR="00DC3E67" w:rsidRPr="00DC3E67" w:rsidRDefault="00DC3E67" w:rsidP="00DC3E67">
            <w:pPr>
              <w:spacing w:line="580" w:lineRule="exact"/>
              <w:jc w:val="center"/>
              <w:rPr>
                <w:rFonts w:eastAsia="仿宋_GB2312" w:hint="eastAsia"/>
                <w:b/>
                <w:bCs/>
                <w:color w:val="000000"/>
                <w:sz w:val="28"/>
                <w:szCs w:val="28"/>
                <w:lang w:bidi="ar"/>
              </w:rPr>
            </w:pPr>
            <w:proofErr w:type="spellStart"/>
            <w:r w:rsidRPr="00DC3E67">
              <w:rPr>
                <w:rFonts w:eastAsia="仿宋_GB2312"/>
                <w:b/>
                <w:bCs/>
                <w:color w:val="000000"/>
                <w:sz w:val="28"/>
                <w:szCs w:val="28"/>
                <w:lang w:bidi="ar"/>
              </w:rPr>
              <w:t>Botable.dev</w:t>
            </w:r>
            <w:proofErr w:type="spellEnd"/>
          </w:p>
        </w:tc>
        <w:tc>
          <w:tcPr>
            <w:tcW w:w="1575" w:type="dxa"/>
          </w:tcPr>
          <w:p w14:paraId="675898E4" w14:textId="77777777" w:rsidR="00DC3E67" w:rsidRPr="00DC3E67" w:rsidRDefault="00DC3E67" w:rsidP="00DC3E67">
            <w:pPr>
              <w:spacing w:line="580" w:lineRule="exact"/>
              <w:jc w:val="center"/>
              <w:rPr>
                <w:rFonts w:eastAsia="仿宋_GB2312"/>
                <w:color w:val="000000"/>
                <w:sz w:val="28"/>
                <w:szCs w:val="28"/>
                <w:lang w:bidi="ar"/>
              </w:rPr>
            </w:pP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哈萨克斯坦</w:t>
            </w:r>
          </w:p>
        </w:tc>
        <w:tc>
          <w:tcPr>
            <w:tcW w:w="9480" w:type="dxa"/>
          </w:tcPr>
          <w:p w14:paraId="4CEE529F" w14:textId="77777777" w:rsidR="00DC3E67" w:rsidRPr="00DC3E67" w:rsidRDefault="00DC3E67" w:rsidP="00DC3E67">
            <w:pPr>
              <w:spacing w:line="580" w:lineRule="exact"/>
              <w:jc w:val="left"/>
              <w:rPr>
                <w:rFonts w:eastAsia="仿宋_GB2312" w:hint="eastAsia"/>
                <w:color w:val="000000"/>
                <w:sz w:val="28"/>
                <w:szCs w:val="28"/>
                <w:lang w:bidi="ar"/>
              </w:rPr>
            </w:pPr>
            <w:proofErr w:type="spellStart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Botable.dev</w:t>
            </w:r>
            <w:proofErr w:type="spellEnd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 xml:space="preserve"> 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是一个灵活的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 xml:space="preserve"> AI 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代理生成与部署平台，支持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 xml:space="preserve"> Telegram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、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WhatsApp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、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WeChat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、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 xml:space="preserve">Instagram 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等多渠道。用户可在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 xml:space="preserve"> 10 </w:t>
            </w:r>
            <w:proofErr w:type="gramStart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分钟内零代码</w:t>
            </w:r>
            <w:proofErr w:type="gramEnd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创建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 xml:space="preserve"> AI 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助手，并与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 xml:space="preserve"> GitHub 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实时同步，一键发布。功能包括客户支持、智能销售、数据分析、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 xml:space="preserve">HR 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入职等，代理数量可从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 xml:space="preserve"> 5 </w:t>
            </w:r>
            <w:proofErr w:type="gramStart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个</w:t>
            </w:r>
            <w:proofErr w:type="gramEnd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扩展至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 xml:space="preserve"> 40+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，满足初创、中小企业到大型机构的需求。平台目前已获得中亚及欧洲客户应用，支持多语言与支付网络，符合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 xml:space="preserve"> ISO 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与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 xml:space="preserve"> GDPR 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国际合</w:t>
            </w:r>
            <w:proofErr w:type="gramStart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规</w:t>
            </w:r>
            <w:proofErr w:type="gramEnd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标准。</w:t>
            </w:r>
            <w:proofErr w:type="spellStart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Botable.dev</w:t>
            </w:r>
            <w:proofErr w:type="spellEnd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 xml:space="preserve"> 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致力于让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 xml:space="preserve"> AI 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代理成为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“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数字员工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”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，通过技术推动全球企业客户沟通与流程自动化。</w:t>
            </w:r>
          </w:p>
        </w:tc>
      </w:tr>
      <w:tr w:rsidR="00DC3E67" w:rsidRPr="00DC3E67" w14:paraId="5CD7DC7F" w14:textId="77777777" w:rsidTr="00AF4DC5">
        <w:tc>
          <w:tcPr>
            <w:tcW w:w="878" w:type="dxa"/>
          </w:tcPr>
          <w:p w14:paraId="70D8A019" w14:textId="77777777" w:rsidR="00DC3E67" w:rsidRPr="00DC3E67" w:rsidRDefault="00DC3E67" w:rsidP="00DC3E67">
            <w:pPr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  <w:lang w:bidi="ar"/>
              </w:rPr>
            </w:pPr>
            <w:r w:rsidRPr="00DC3E67">
              <w:rPr>
                <w:rFonts w:eastAsia="仿宋_GB2312" w:hint="eastAsia"/>
                <w:b/>
                <w:bCs/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2070" w:type="dxa"/>
          </w:tcPr>
          <w:p w14:paraId="4182CE80" w14:textId="77777777" w:rsidR="00DC3E67" w:rsidRPr="00DC3E67" w:rsidRDefault="00DC3E67" w:rsidP="00DC3E67">
            <w:pPr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  <w:lang w:bidi="ar"/>
              </w:rPr>
            </w:pPr>
            <w:proofErr w:type="spellStart"/>
            <w:r w:rsidRPr="00DC3E67">
              <w:rPr>
                <w:rFonts w:eastAsia="仿宋_GB2312"/>
                <w:b/>
                <w:bCs/>
                <w:color w:val="000000"/>
                <w:sz w:val="28"/>
                <w:szCs w:val="28"/>
                <w:lang w:bidi="ar"/>
              </w:rPr>
              <w:t>TabiLens</w:t>
            </w:r>
            <w:proofErr w:type="spellEnd"/>
          </w:p>
        </w:tc>
        <w:tc>
          <w:tcPr>
            <w:tcW w:w="1575" w:type="dxa"/>
          </w:tcPr>
          <w:p w14:paraId="5238E23C" w14:textId="77777777" w:rsidR="00DC3E67" w:rsidRPr="00DC3E67" w:rsidRDefault="00DC3E67" w:rsidP="00DC3E67">
            <w:pPr>
              <w:spacing w:line="580" w:lineRule="exact"/>
              <w:jc w:val="center"/>
              <w:rPr>
                <w:rFonts w:eastAsia="仿宋_GB2312"/>
                <w:color w:val="000000"/>
                <w:sz w:val="28"/>
                <w:szCs w:val="28"/>
                <w:lang w:bidi="ar"/>
              </w:rPr>
            </w:pP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哈萨克斯坦</w:t>
            </w:r>
          </w:p>
        </w:tc>
        <w:tc>
          <w:tcPr>
            <w:tcW w:w="9480" w:type="dxa"/>
          </w:tcPr>
          <w:p w14:paraId="6B4BFA8D" w14:textId="77777777" w:rsidR="00DC3E67" w:rsidRPr="00DC3E67" w:rsidRDefault="00DC3E67" w:rsidP="00DC3E67">
            <w:pPr>
              <w:spacing w:line="580" w:lineRule="exact"/>
              <w:jc w:val="left"/>
              <w:rPr>
                <w:rFonts w:eastAsia="仿宋_GB2312" w:hint="eastAsia"/>
                <w:color w:val="000000"/>
                <w:sz w:val="28"/>
                <w:szCs w:val="28"/>
                <w:lang w:bidi="ar"/>
              </w:rPr>
            </w:pPr>
            <w:proofErr w:type="spellStart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TabiLens</w:t>
            </w:r>
            <w:proofErr w:type="spellEnd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 xml:space="preserve"> 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是一家面向旅游行业的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 xml:space="preserve"> AI UGC 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平台，帮助品牌从真实旅行者获取高转化的原创内容。平台通过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 xml:space="preserve"> AI 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匹配系统，将酒店、旅游局、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 xml:space="preserve">OTA 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等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lastRenderedPageBreak/>
              <w:t>需求方与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 xml:space="preserve"> 500+ 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创作者对接，实现点击率提升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 xml:space="preserve"> 4 </w:t>
            </w:r>
            <w:proofErr w:type="gramStart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倍</w:t>
            </w:r>
            <w:proofErr w:type="gramEnd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，</w:t>
            </w:r>
            <w:proofErr w:type="gramStart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获客成本</w:t>
            </w:r>
            <w:proofErr w:type="gramEnd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降低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 xml:space="preserve"> 50%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。目前已获得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 xml:space="preserve"> 13 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家旅游企业预售合同，并与阿拉木图旅游局及哈萨克斯坦国家旅游局合作，项目金额合计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 xml:space="preserve"> 1240 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万美元。商业模式为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 xml:space="preserve"> SaaS 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订阅（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 xml:space="preserve">159–289 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美元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/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月）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 xml:space="preserve">+ 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内容交易佣金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 xml:space="preserve"> 20%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。</w:t>
            </w:r>
            <w:proofErr w:type="gramStart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企业愿景是</w:t>
            </w:r>
            <w:proofErr w:type="gramEnd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成为全球首个旅行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UGC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授权平台，推动中亚及中国旅游业数字化，帮助旅行者内容直接转化为商业价值。</w:t>
            </w:r>
          </w:p>
        </w:tc>
      </w:tr>
      <w:tr w:rsidR="00DC3E67" w:rsidRPr="00DC3E67" w14:paraId="05873AEB" w14:textId="77777777" w:rsidTr="00AF4DC5">
        <w:tc>
          <w:tcPr>
            <w:tcW w:w="878" w:type="dxa"/>
          </w:tcPr>
          <w:p w14:paraId="6032D5EB" w14:textId="77777777" w:rsidR="00DC3E67" w:rsidRPr="00DC3E67" w:rsidRDefault="00DC3E67" w:rsidP="00DC3E67">
            <w:pPr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  <w:lang w:bidi="ar"/>
              </w:rPr>
            </w:pPr>
            <w:r w:rsidRPr="00DC3E67">
              <w:rPr>
                <w:rFonts w:eastAsia="仿宋_GB2312" w:hint="eastAsia"/>
                <w:b/>
                <w:bCs/>
                <w:color w:val="000000"/>
                <w:sz w:val="28"/>
                <w:szCs w:val="28"/>
                <w:lang w:bidi="ar"/>
              </w:rPr>
              <w:lastRenderedPageBreak/>
              <w:t>7</w:t>
            </w:r>
          </w:p>
        </w:tc>
        <w:tc>
          <w:tcPr>
            <w:tcW w:w="2070" w:type="dxa"/>
          </w:tcPr>
          <w:p w14:paraId="194573C9" w14:textId="77777777" w:rsidR="00DC3E67" w:rsidRPr="00DC3E67" w:rsidRDefault="00DC3E67" w:rsidP="00DC3E67">
            <w:pPr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  <w:lang w:bidi="ar"/>
              </w:rPr>
            </w:pPr>
            <w:r w:rsidRPr="00DC3E67">
              <w:rPr>
                <w:rFonts w:eastAsia="仿宋_GB2312"/>
                <w:b/>
                <w:bCs/>
                <w:color w:val="000000"/>
                <w:sz w:val="28"/>
                <w:szCs w:val="28"/>
                <w:lang w:bidi="ar"/>
              </w:rPr>
              <w:t>Edara Platform</w:t>
            </w:r>
          </w:p>
        </w:tc>
        <w:tc>
          <w:tcPr>
            <w:tcW w:w="1575" w:type="dxa"/>
          </w:tcPr>
          <w:p w14:paraId="1877B093" w14:textId="77777777" w:rsidR="00DC3E67" w:rsidRPr="00DC3E67" w:rsidRDefault="00DC3E67" w:rsidP="00DC3E67">
            <w:pPr>
              <w:spacing w:line="580" w:lineRule="exact"/>
              <w:jc w:val="center"/>
              <w:rPr>
                <w:rFonts w:eastAsia="仿宋_GB2312"/>
                <w:color w:val="000000"/>
                <w:sz w:val="28"/>
                <w:szCs w:val="28"/>
                <w:lang w:bidi="ar"/>
              </w:rPr>
            </w:pP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哈萨克斯坦</w:t>
            </w:r>
          </w:p>
        </w:tc>
        <w:tc>
          <w:tcPr>
            <w:tcW w:w="9480" w:type="dxa"/>
          </w:tcPr>
          <w:p w14:paraId="42BDC6FA" w14:textId="77777777" w:rsidR="00DC3E67" w:rsidRPr="00DC3E67" w:rsidRDefault="00DC3E67" w:rsidP="00DC3E67">
            <w:pPr>
              <w:spacing w:line="580" w:lineRule="exact"/>
              <w:jc w:val="left"/>
              <w:rPr>
                <w:rFonts w:eastAsia="仿宋_GB2312"/>
                <w:color w:val="000000"/>
                <w:sz w:val="28"/>
                <w:szCs w:val="28"/>
                <w:lang w:bidi="ar"/>
              </w:rPr>
            </w:pP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Edara Platform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是一个跨境电商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SaaS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平台，聚合教育培训、采购、物流与融资全链条服务。平台提供供应商展示、智能报价比对系统，并与银行合作</w:t>
            </w:r>
            <w:proofErr w:type="gramStart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提供预授信</w:t>
            </w:r>
            <w:proofErr w:type="gramEnd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。借助区块链转账与追踪机制，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Edara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可实现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1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美元快速国际结算，兼顾安全与合</w:t>
            </w:r>
            <w:proofErr w:type="gramStart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规</w:t>
            </w:r>
            <w:proofErr w:type="gramEnd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。公司目标市场定位中亚地区，电商总规模近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150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亿美元。平台计划一年内服务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3.3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万卖家，为中亚跨境电</w:t>
            </w:r>
            <w:proofErr w:type="gramStart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商快速</w:t>
            </w:r>
            <w:proofErr w:type="gramEnd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增长提供助力，推动哈萨克斯坦与中国的数字贸易走廊建设。</w:t>
            </w:r>
          </w:p>
        </w:tc>
      </w:tr>
      <w:tr w:rsidR="00DC3E67" w:rsidRPr="00DC3E67" w14:paraId="297A0224" w14:textId="77777777" w:rsidTr="00AF4DC5">
        <w:tc>
          <w:tcPr>
            <w:tcW w:w="878" w:type="dxa"/>
          </w:tcPr>
          <w:p w14:paraId="2FEBF189" w14:textId="77777777" w:rsidR="00DC3E67" w:rsidRPr="00DC3E67" w:rsidRDefault="00DC3E67" w:rsidP="00DC3E67">
            <w:pPr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  <w:lang w:bidi="ar"/>
              </w:rPr>
            </w:pPr>
            <w:r w:rsidRPr="00DC3E67">
              <w:rPr>
                <w:rFonts w:eastAsia="仿宋_GB2312" w:hint="eastAsia"/>
                <w:b/>
                <w:bCs/>
                <w:color w:val="000000"/>
                <w:sz w:val="28"/>
                <w:szCs w:val="28"/>
                <w:lang w:bidi="ar"/>
              </w:rPr>
              <w:t>8</w:t>
            </w:r>
          </w:p>
        </w:tc>
        <w:tc>
          <w:tcPr>
            <w:tcW w:w="2070" w:type="dxa"/>
          </w:tcPr>
          <w:p w14:paraId="099DD609" w14:textId="77777777" w:rsidR="00DC3E67" w:rsidRPr="00DC3E67" w:rsidRDefault="00DC3E67" w:rsidP="00DC3E67">
            <w:pPr>
              <w:spacing w:line="58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  <w:lang w:bidi="ar"/>
              </w:rPr>
            </w:pPr>
            <w:proofErr w:type="spellStart"/>
            <w:r w:rsidRPr="00DC3E67">
              <w:rPr>
                <w:rFonts w:eastAsia="仿宋_GB2312"/>
                <w:b/>
                <w:bCs/>
                <w:color w:val="000000"/>
                <w:sz w:val="28"/>
                <w:szCs w:val="28"/>
                <w:lang w:bidi="ar"/>
              </w:rPr>
              <w:t>SolidRock</w:t>
            </w:r>
            <w:proofErr w:type="spellEnd"/>
          </w:p>
        </w:tc>
        <w:tc>
          <w:tcPr>
            <w:tcW w:w="1575" w:type="dxa"/>
          </w:tcPr>
          <w:p w14:paraId="0728D2C4" w14:textId="77777777" w:rsidR="00DC3E67" w:rsidRPr="00DC3E67" w:rsidRDefault="00DC3E67" w:rsidP="00DC3E67">
            <w:pPr>
              <w:spacing w:line="580" w:lineRule="exact"/>
              <w:jc w:val="center"/>
              <w:rPr>
                <w:rFonts w:eastAsia="仿宋_GB2312"/>
                <w:color w:val="000000"/>
                <w:sz w:val="28"/>
                <w:szCs w:val="28"/>
                <w:lang w:bidi="ar"/>
              </w:rPr>
            </w:pP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哈萨克斯坦</w:t>
            </w:r>
          </w:p>
        </w:tc>
        <w:tc>
          <w:tcPr>
            <w:tcW w:w="9480" w:type="dxa"/>
          </w:tcPr>
          <w:p w14:paraId="442A6539" w14:textId="77777777" w:rsidR="00DC3E67" w:rsidRPr="00DC3E67" w:rsidRDefault="00DC3E67" w:rsidP="00DC3E67">
            <w:pPr>
              <w:spacing w:line="580" w:lineRule="exact"/>
              <w:jc w:val="left"/>
              <w:rPr>
                <w:rFonts w:eastAsia="仿宋_GB2312"/>
                <w:color w:val="000000"/>
                <w:sz w:val="28"/>
                <w:szCs w:val="28"/>
                <w:lang w:bidi="ar"/>
              </w:rPr>
            </w:pPr>
            <w:proofErr w:type="spellStart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SolidRock</w:t>
            </w:r>
            <w:proofErr w:type="spellEnd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专注游戏本地化翻译和文化适配，帮助海外游戏进入中国市场。平台提供高效、低成本本地化解决方案，支持多种主流引擎无缝衔接，已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lastRenderedPageBreak/>
              <w:t>完成首批试点订单并与伦敦工作室合作。公司了解中国本土用户偏好，在翻译中注重文化差异，以提升游戏体验。已获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Astana VC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承诺投资，计划扩展至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50</w:t>
            </w:r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家游戏工作室。</w:t>
            </w:r>
            <w:proofErr w:type="spellStart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SolidRock</w:t>
            </w:r>
            <w:proofErr w:type="spellEnd"/>
            <w:proofErr w:type="gramStart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的愿景是</w:t>
            </w:r>
            <w:proofErr w:type="gramEnd"/>
            <w:r w:rsidRPr="00DC3E67">
              <w:rPr>
                <w:rFonts w:eastAsia="仿宋_GB2312"/>
                <w:color w:val="000000"/>
                <w:sz w:val="28"/>
                <w:szCs w:val="28"/>
                <w:lang w:bidi="ar"/>
              </w:rPr>
              <w:t>促进全球优质游戏交流，推动中国及中亚游戏产业的国际化发展。</w:t>
            </w:r>
          </w:p>
        </w:tc>
      </w:tr>
      <w:bookmarkEnd w:id="0"/>
    </w:tbl>
    <w:p w14:paraId="3CF255F5" w14:textId="77777777" w:rsidR="00951E33" w:rsidRPr="00DC3E67" w:rsidRDefault="00951E33">
      <w:pPr>
        <w:rPr>
          <w:rFonts w:hint="eastAsia"/>
        </w:rPr>
      </w:pPr>
    </w:p>
    <w:sectPr w:rsidR="00951E33" w:rsidRPr="00DC3E67" w:rsidSect="00DC3E6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67"/>
    <w:rsid w:val="00181A2D"/>
    <w:rsid w:val="001C4605"/>
    <w:rsid w:val="00272390"/>
    <w:rsid w:val="00951E33"/>
    <w:rsid w:val="00982EA5"/>
    <w:rsid w:val="00DC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A3BB"/>
  <w15:chartTrackingRefBased/>
  <w15:docId w15:val="{B46B127D-2F10-4EE9-B281-EA91DF5A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3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E6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E6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E6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E6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E6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E6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E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E6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E6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C3E67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E67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E67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E67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E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E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E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E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E6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C3E6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rsid w:val="00DC3E67"/>
    <w:rPr>
      <w:rFonts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明鍹 李</dc:creator>
  <cp:keywords/>
  <dc:description/>
  <cp:lastModifiedBy>明鍹 李</cp:lastModifiedBy>
  <cp:revision>1</cp:revision>
  <dcterms:created xsi:type="dcterms:W3CDTF">2025-09-24T02:32:00Z</dcterms:created>
  <dcterms:modified xsi:type="dcterms:W3CDTF">2025-09-24T02:33:00Z</dcterms:modified>
</cp:coreProperties>
</file>