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FA0EA">
      <w:pPr>
        <w:spacing w:line="580" w:lineRule="exact"/>
        <w:rPr>
          <w:rFonts w:ascii="Times New Roman" w:hAnsi="Times New Roman" w:eastAsia="黑体" w:cs="Times New Roman"/>
          <w:sz w:val="32"/>
          <w:szCs w:val="40"/>
        </w:rPr>
      </w:pPr>
      <w:r>
        <w:rPr>
          <w:rFonts w:hint="eastAsia" w:ascii="Times New Roman" w:hAnsi="Times New Roman" w:eastAsia="黑体" w:cs="Times New Roman"/>
          <w:sz w:val="32"/>
          <w:szCs w:val="40"/>
        </w:rPr>
        <w:t>附件2</w:t>
      </w:r>
    </w:p>
    <w:p w14:paraId="708B8828">
      <w:pPr>
        <w:spacing w:line="54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路演项目简介</w:t>
      </w:r>
    </w:p>
    <w:p w14:paraId="09CDABA0">
      <w:pPr>
        <w:spacing w:line="580" w:lineRule="exact"/>
        <w:rPr>
          <w:rFonts w:hint="eastAsia" w:ascii="仿宋_GB2312" w:hAnsi="仿宋_GB2312" w:eastAsia="仿宋_GB2312" w:cs="仿宋_GB2312"/>
          <w:color w:val="000000"/>
          <w:kern w:val="0"/>
          <w:sz w:val="28"/>
          <w:szCs w:val="28"/>
          <w:lang w:bidi="ar"/>
        </w:rPr>
      </w:pPr>
    </w:p>
    <w:tbl>
      <w:tblPr>
        <w:tblStyle w:val="5"/>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747"/>
        <w:gridCol w:w="1701"/>
        <w:gridCol w:w="8646"/>
      </w:tblGrid>
      <w:tr w14:paraId="5897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500F2336">
            <w:pPr>
              <w:spacing w:line="620" w:lineRule="exact"/>
              <w:jc w:val="center"/>
              <w:rPr>
                <w:rFonts w:ascii="Times New Roman" w:hAnsi="Times New Roman" w:eastAsia="仿宋_GB2312" w:cs="Times New Roman"/>
                <w:b/>
                <w:bCs/>
                <w:sz w:val="28"/>
                <w:szCs w:val="36"/>
              </w:rPr>
            </w:pPr>
            <w:r>
              <w:rPr>
                <w:rFonts w:hint="eastAsia" w:ascii="Times New Roman" w:hAnsi="Times New Roman" w:eastAsia="仿宋_GB2312" w:cs="Times New Roman"/>
                <w:b/>
                <w:bCs/>
                <w:sz w:val="28"/>
                <w:szCs w:val="36"/>
              </w:rPr>
              <w:t>序号</w:t>
            </w:r>
          </w:p>
        </w:tc>
        <w:tc>
          <w:tcPr>
            <w:tcW w:w="2747" w:type="dxa"/>
          </w:tcPr>
          <w:p w14:paraId="1220E822">
            <w:pPr>
              <w:spacing w:line="620" w:lineRule="exact"/>
              <w:jc w:val="center"/>
              <w:rPr>
                <w:rFonts w:ascii="Times New Roman" w:hAnsi="Times New Roman" w:eastAsia="仿宋_GB2312" w:cs="Times New Roman"/>
                <w:b/>
                <w:bCs/>
                <w:sz w:val="28"/>
                <w:szCs w:val="36"/>
              </w:rPr>
            </w:pPr>
            <w:r>
              <w:rPr>
                <w:rFonts w:hint="eastAsia" w:ascii="Times New Roman" w:hAnsi="Times New Roman" w:eastAsia="仿宋_GB2312" w:cs="Times New Roman"/>
                <w:b/>
                <w:bCs/>
                <w:sz w:val="28"/>
                <w:szCs w:val="36"/>
              </w:rPr>
              <w:t>项目名称</w:t>
            </w:r>
          </w:p>
        </w:tc>
        <w:tc>
          <w:tcPr>
            <w:tcW w:w="1701" w:type="dxa"/>
          </w:tcPr>
          <w:p w14:paraId="4868A956">
            <w:pPr>
              <w:spacing w:line="620" w:lineRule="exact"/>
              <w:jc w:val="center"/>
              <w:rPr>
                <w:rFonts w:ascii="Times New Roman" w:hAnsi="Times New Roman" w:eastAsia="仿宋_GB2312" w:cs="Times New Roman"/>
                <w:b/>
                <w:bCs/>
                <w:sz w:val="28"/>
                <w:szCs w:val="36"/>
              </w:rPr>
            </w:pPr>
            <w:r>
              <w:rPr>
                <w:rFonts w:hint="eastAsia" w:ascii="Times New Roman" w:hAnsi="Times New Roman" w:eastAsia="仿宋_GB2312" w:cs="Times New Roman"/>
                <w:b/>
                <w:bCs/>
                <w:sz w:val="28"/>
                <w:szCs w:val="36"/>
              </w:rPr>
              <w:t>国家/地区</w:t>
            </w:r>
          </w:p>
        </w:tc>
        <w:tc>
          <w:tcPr>
            <w:tcW w:w="8646" w:type="dxa"/>
          </w:tcPr>
          <w:p w14:paraId="22A46849">
            <w:pPr>
              <w:spacing w:line="620" w:lineRule="exact"/>
              <w:jc w:val="center"/>
              <w:rPr>
                <w:rFonts w:ascii="Times New Roman" w:hAnsi="Times New Roman" w:eastAsia="仿宋_GB2312" w:cs="Times New Roman"/>
                <w:b/>
                <w:bCs/>
                <w:sz w:val="28"/>
                <w:szCs w:val="36"/>
              </w:rPr>
            </w:pPr>
            <w:r>
              <w:rPr>
                <w:rFonts w:hint="eastAsia" w:ascii="Times New Roman" w:hAnsi="Times New Roman" w:eastAsia="仿宋_GB2312" w:cs="Times New Roman"/>
                <w:b/>
                <w:bCs/>
                <w:sz w:val="28"/>
                <w:szCs w:val="36"/>
              </w:rPr>
              <w:t>简介</w:t>
            </w:r>
          </w:p>
        </w:tc>
      </w:tr>
      <w:tr w14:paraId="43CC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3D9C49C5">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p>
        </w:tc>
        <w:tc>
          <w:tcPr>
            <w:tcW w:w="2747" w:type="dxa"/>
            <w:vAlign w:val="center"/>
          </w:tcPr>
          <w:p w14:paraId="042EB7DF">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设备运维AI工程师</w:t>
            </w:r>
          </w:p>
        </w:tc>
        <w:tc>
          <w:tcPr>
            <w:tcW w:w="1701" w:type="dxa"/>
            <w:vAlign w:val="center"/>
          </w:tcPr>
          <w:p w14:paraId="2E77AF80">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中国澳门</w:t>
            </w:r>
          </w:p>
        </w:tc>
        <w:tc>
          <w:tcPr>
            <w:tcW w:w="8646" w:type="dxa"/>
            <w:vAlign w:val="center"/>
          </w:tcPr>
          <w:p w14:paraId="32B53AC5">
            <w:pPr>
              <w:widowControl/>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NexFactory 是一款具备持续学习能力的工业AI助手，服务于设备运维与知识管理场景。通过解析说明书、运维记录、图像视频等多模态资料，构建企业专属知识库，并结合大模型提供维修建议、工单自动化与跨语言协作。每次用户反馈都反哺系统，模型持续学习和进化，最终演化为工厂的“数字老师傅”。产品采用SaaS模式，部署成本低、7日内交付，适合规模化扩张。目前已获中外3家制造企业试用意向支持，并启动向100家工厂免费试用拓展计划。NexFactory不仅是运维工具，更是“会成长的工厂大脑”，未来将延伸至培训、IoT联动预测性维护，为工厂解决智能制造的实施和运维问题。</w:t>
            </w:r>
          </w:p>
        </w:tc>
      </w:tr>
      <w:tr w14:paraId="6805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6106B148">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w:t>
            </w:r>
          </w:p>
        </w:tc>
        <w:tc>
          <w:tcPr>
            <w:tcW w:w="2747" w:type="dxa"/>
            <w:vAlign w:val="center"/>
          </w:tcPr>
          <w:p w14:paraId="22F00DCB">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《地外旅人》：以国内领先三渲二技术打造的原创动画出海计划</w:t>
            </w:r>
          </w:p>
        </w:tc>
        <w:tc>
          <w:tcPr>
            <w:tcW w:w="1701" w:type="dxa"/>
            <w:vAlign w:val="center"/>
          </w:tcPr>
          <w:p w14:paraId="2D850346">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中国澳门</w:t>
            </w:r>
          </w:p>
        </w:tc>
        <w:tc>
          <w:tcPr>
            <w:tcW w:w="8646" w:type="dxa"/>
            <w:vAlign w:val="center"/>
          </w:tcPr>
          <w:p w14:paraId="0D51B454">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地外旅人》是由澳门种星动画工作室开发制作的原创科幻动画剧集，融合人工智能、太空探索与东西文化元素，以全球青少年与年轻族群为主要观众群。计划于2027年推出首季剧集，并以登陆Netflix等国际串流平台为主要发展方向，致力打造具有出海潜力的澳门原创动画品牌。工作室拥有10年以上国际动画创作经验，早期推出的作品《The Legend of Lucky Pie》曾在欧美市场获得关注。《地外旅人》作为最新的科幻动画IP，采用先进的“三渲二”技术制作，融合高质量画面与美式叙事风格，具备视觉冲击力与成本效益兼具的优势。</w:t>
            </w:r>
          </w:p>
        </w:tc>
      </w:tr>
      <w:tr w14:paraId="301A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14CEA4BF">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w:t>
            </w:r>
          </w:p>
        </w:tc>
        <w:tc>
          <w:tcPr>
            <w:tcW w:w="2747" w:type="dxa"/>
            <w:vAlign w:val="center"/>
          </w:tcPr>
          <w:p w14:paraId="114BECEB">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机器人触觉感知解决方案</w:t>
            </w:r>
          </w:p>
        </w:tc>
        <w:tc>
          <w:tcPr>
            <w:tcW w:w="1701" w:type="dxa"/>
            <w:vAlign w:val="center"/>
          </w:tcPr>
          <w:p w14:paraId="12190E51">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中国澳门</w:t>
            </w:r>
          </w:p>
        </w:tc>
        <w:tc>
          <w:tcPr>
            <w:tcW w:w="8646" w:type="dxa"/>
            <w:vAlign w:val="center"/>
          </w:tcPr>
          <w:p w14:paraId="1EB04B0C">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ROBOTOUCH专注提供机器人触觉感知解决方案，通过柔性皮肤传感器解决传统触觉传感器结构复杂、拓展性差、感知面积小等痛点。产品基于电阻抗断层扫描技术，实现高频率（30Hz）、高位置分辨率（2mm）、高力敏感度（0.1N）的连续触觉感知，可覆盖机器人全身复杂曲面。产品采用超薄可拉伸设计，无内部电路结构，拓展性高，结合高精度触觉重建算法与低成本方案，核心技术已发表20+论文。其多维度感知可同步检测压力、形状及温湿度变化，可应用于人形机器人交互、机械臂协作、汽车座椅压力检测及触觉数据采集。商业模式包括为相关企业提供定制化方案及向机器人厂商与实验室等直销机器人皮肤。</w:t>
            </w:r>
          </w:p>
        </w:tc>
      </w:tr>
      <w:tr w14:paraId="1368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34BE5E1D">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w:t>
            </w:r>
          </w:p>
        </w:tc>
        <w:tc>
          <w:tcPr>
            <w:tcW w:w="2747" w:type="dxa"/>
            <w:vAlign w:val="center"/>
          </w:tcPr>
          <w:p w14:paraId="76485001">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阿佩隆：混合型实时战略游戏</w:t>
            </w:r>
          </w:p>
        </w:tc>
        <w:tc>
          <w:tcPr>
            <w:tcW w:w="1701" w:type="dxa"/>
            <w:vAlign w:val="center"/>
          </w:tcPr>
          <w:p w14:paraId="1C459F64">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中国香港</w:t>
            </w:r>
          </w:p>
        </w:tc>
        <w:tc>
          <w:tcPr>
            <w:tcW w:w="8646" w:type="dxa"/>
            <w:vAlign w:val="center"/>
          </w:tcPr>
          <w:p w14:paraId="499FAE74">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《阿佩隆（Apeiron）》是全球首个Web3 上帝仿真游戏系列，开创性地融合了人工智能、电竞和区块链技术。首款旗舰产品为混合型实时战略游戏，将行星模拟与卡牌战斗巧妙结合，独特创新的玩法使《阿佩隆》在游戏产业中独树一帜。令人惊叹的视觉效果、丰富的神话故事，以及可爱又充满魅力的 “杜德（Dood）” 角色形象，《阿佩隆》已成为最受关注与热议的区块链游戏之一。《阿佩隆》由超过60人的香港资深开发团队历时3年倾力打造，已获得了1750万美元的投资，并在全球吸引了超过12万日活用户形成持续增长小区。 2024年《阿佩隆》收入突破 1000 万美元，区块链市场的 30 天滚动交易量也超过了 150 ETH。</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在荣获 2024 香港信息及通讯科技奖（ICT Award）数字娱乐大奖后，我们开发了深度强化学习智能体（Deep Reinforcement Learning Agents）应用到游戏与社群媒体互动平台中。如今，《阿佩隆》已从游戏发展为一个完整的原创数字 IP 生态，涵盖游戏、动画和周边商品。</w:t>
            </w:r>
          </w:p>
        </w:tc>
      </w:tr>
      <w:tr w14:paraId="6D1A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1706FDCA">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w:t>
            </w:r>
          </w:p>
        </w:tc>
        <w:tc>
          <w:tcPr>
            <w:tcW w:w="2747" w:type="dxa"/>
            <w:vAlign w:val="center"/>
          </w:tcPr>
          <w:p w14:paraId="2335F52E">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Savoir by EasyHear：微型粒耳道式助听器</w:t>
            </w:r>
          </w:p>
        </w:tc>
        <w:tc>
          <w:tcPr>
            <w:tcW w:w="1701" w:type="dxa"/>
            <w:vAlign w:val="center"/>
          </w:tcPr>
          <w:p w14:paraId="6DEEFE7A">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中国香港</w:t>
            </w:r>
          </w:p>
        </w:tc>
        <w:tc>
          <w:tcPr>
            <w:tcW w:w="8646" w:type="dxa"/>
            <w:vAlign w:val="center"/>
          </w:tcPr>
          <w:p w14:paraId="7635F75A">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力滔有限公司于2004年成立，扎根于香港，是全球首家成功将波束成形技术应用于助听器的公司，香港是研发、生产和维修服务基地，由本地工程师团队协力担当，抱</w:t>
            </w:r>
            <w:r>
              <w:rPr>
                <w:rFonts w:ascii="Times New Roman" w:hAnsi="Times New Roman" w:eastAsia="微软雅黑" w:cs="Times New Roman"/>
                <w:color w:val="000000"/>
                <w:kern w:val="0"/>
                <w:sz w:val="24"/>
                <w:lang w:bidi="ar"/>
              </w:rPr>
              <w:t>｢</w:t>
            </w:r>
            <w:r>
              <w:rPr>
                <w:rFonts w:ascii="Times New Roman" w:hAnsi="Times New Roman" w:eastAsia="仿宋_GB2312" w:cs="Times New Roman"/>
                <w:color w:val="000000"/>
                <w:kern w:val="0"/>
                <w:sz w:val="24"/>
                <w:lang w:bidi="ar"/>
              </w:rPr>
              <w:t>消除世上所有听障问题</w:t>
            </w:r>
            <w:r>
              <w:rPr>
                <w:rFonts w:ascii="Times New Roman" w:hAnsi="Times New Roman" w:eastAsia="微软雅黑" w:cs="Times New Roman"/>
                <w:color w:val="000000"/>
                <w:kern w:val="0"/>
                <w:sz w:val="24"/>
                <w:lang w:bidi="ar"/>
              </w:rPr>
              <w:t>｣</w:t>
            </w:r>
            <w:r>
              <w:rPr>
                <w:rFonts w:ascii="Times New Roman" w:hAnsi="Times New Roman" w:eastAsia="仿宋_GB2312" w:cs="Times New Roman"/>
                <w:color w:val="000000"/>
                <w:kern w:val="0"/>
                <w:sz w:val="24"/>
                <w:lang w:bidi="ar"/>
              </w:rPr>
              <w:t>为宏愿及使命，于2012年设计出一种外形类似iPod的助听器;于2018年建立了耳背式(BTE)助听器；近年，工程团队成功推出了创新微型粒耳道式(ITC)助听器Savoir by EasyHear，为极聋及全聋人士带来曙光。Savoir是崭新科技突破，世上唯一微型耳道式(ITC)助听器，设计精巧，适合不同程度之听障者配戴，包括深度听障及全聋者(-95dB至-105dB)。 为了满足不同需求，Savoir 的软件及硬件都可度身订造；外形如一般蓝牙耳机，让使用者重拾自信及自尊。</w:t>
            </w:r>
          </w:p>
        </w:tc>
      </w:tr>
      <w:tr w14:paraId="7817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03F7D327">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6</w:t>
            </w:r>
          </w:p>
        </w:tc>
        <w:tc>
          <w:tcPr>
            <w:tcW w:w="2747" w:type="dxa"/>
            <w:vAlign w:val="center"/>
          </w:tcPr>
          <w:p w14:paraId="3CB0376A">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基于AI和水凝胶包裹生物深度分析平台</w:t>
            </w:r>
          </w:p>
        </w:tc>
        <w:tc>
          <w:tcPr>
            <w:tcW w:w="1701" w:type="dxa"/>
            <w:vAlign w:val="center"/>
          </w:tcPr>
          <w:p w14:paraId="1522D6EB">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中国香港</w:t>
            </w:r>
          </w:p>
        </w:tc>
        <w:tc>
          <w:tcPr>
            <w:tcW w:w="8646" w:type="dxa"/>
            <w:vAlign w:val="center"/>
          </w:tcPr>
          <w:p w14:paraId="14709F1B">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微生物活性（细菌、细胞、类器官等）的分析与分选需求覆盖十多个行业，但现有技术难以同时满足高通量、高精度和时序追踪。且现有分选技术损伤细胞，导致活性降低，多参数检测能力不足、无法同步检测细胞增殖速率与化学分泌物。效率与成本瓶颈、速度慢、准确性低，且设备价格昂贵。针对此种状况，源博的解决方案具有高通量、细胞友好、低成本的核心优势，通过AI集成多参数分析系统、同步检测多维度指标（增殖、分泌物等）；专有水凝胶设计（DPA）和创新监测配方水凝胶能够维持细胞活性，减少分选损伤；时序追踪策略（TBT）基于时间进行动态监测，实现活细胞长期行为分析。智能微包裹实现了高通量分选与培养一体化，定制化设备具有低成本、高精度硬件支持的特点。</w:t>
            </w:r>
          </w:p>
        </w:tc>
      </w:tr>
      <w:tr w14:paraId="5081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5D6CB255">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7</w:t>
            </w:r>
          </w:p>
        </w:tc>
        <w:tc>
          <w:tcPr>
            <w:tcW w:w="2747" w:type="dxa"/>
            <w:vAlign w:val="center"/>
          </w:tcPr>
          <w:p w14:paraId="18D05D77">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Intelmind跨境电商平台</w:t>
            </w:r>
          </w:p>
        </w:tc>
        <w:tc>
          <w:tcPr>
            <w:tcW w:w="1701" w:type="dxa"/>
            <w:vAlign w:val="center"/>
          </w:tcPr>
          <w:p w14:paraId="341B1D16">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蒙古</w:t>
            </w:r>
          </w:p>
        </w:tc>
        <w:tc>
          <w:tcPr>
            <w:tcW w:w="8646" w:type="dxa"/>
          </w:tcPr>
          <w:p w14:paraId="7B9EDB1F">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Intelmind成立于2023年，总部位于蒙古乌兰巴托，是一家创新型Venture Studio，致力于构建可持续发展的跨境电商生态。核心团队源自阿里巴巴、字节跳动等知名科技公司，具备电商系统研发、供应链管理及多语言本地化服务经验。集团业务涵盖电商平台开发、海外仓及物流履约、多渠道支付接入与内容本地化；旗下ShoppyHub.mn平台日均订单超1000笔，为蒙古市场领先解决方案。凭借与阿里巴巴1688、菜鸟网络的深度合作，Intelmind业务已覆盖蒙古、中亚五国及非洲市场，并入选FlyAsia“Top 50科技公司”、EBRD Star Venture及Silkway Accelerator项目，助力新兴市场数字贸易升级。</w:t>
            </w:r>
          </w:p>
        </w:tc>
      </w:tr>
      <w:tr w14:paraId="41F4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015C353E">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8</w:t>
            </w:r>
          </w:p>
        </w:tc>
        <w:tc>
          <w:tcPr>
            <w:tcW w:w="2747" w:type="dxa"/>
            <w:vAlign w:val="center"/>
          </w:tcPr>
          <w:p w14:paraId="115C72D4">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SolidRock游戏本地化平台</w:t>
            </w:r>
          </w:p>
        </w:tc>
        <w:tc>
          <w:tcPr>
            <w:tcW w:w="1701" w:type="dxa"/>
            <w:vAlign w:val="center"/>
          </w:tcPr>
          <w:p w14:paraId="3604D6DB">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哈萨克斯坦</w:t>
            </w:r>
          </w:p>
        </w:tc>
        <w:tc>
          <w:tcPr>
            <w:tcW w:w="8646" w:type="dxa"/>
          </w:tcPr>
          <w:p w14:paraId="47C1D566">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SolidRock专注游戏本地化翻译和文化适配，帮助海外游戏进入中国市场。平台提供高效、低成本本地化解决方案，支持多种主流引擎无缝衔接，已完成首批试点订单并与伦敦工作室合作。公司了解中国本土用户偏好，在翻译中注重文化差异，以提升游戏体验。已获Astana VC承诺投资，计划扩展至50家游戏工作室。SolidRock的愿景是促进全球优质游戏交流，推动中国及中亚游戏产业的国际化发展。</w:t>
            </w:r>
          </w:p>
        </w:tc>
      </w:tr>
      <w:tr w14:paraId="1037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4B434332">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9</w:t>
            </w:r>
          </w:p>
        </w:tc>
        <w:tc>
          <w:tcPr>
            <w:tcW w:w="2747" w:type="dxa"/>
            <w:vAlign w:val="center"/>
          </w:tcPr>
          <w:p w14:paraId="490EA08F">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Smart Contract数字合同平台</w:t>
            </w:r>
          </w:p>
        </w:tc>
        <w:tc>
          <w:tcPr>
            <w:tcW w:w="1701" w:type="dxa"/>
            <w:vAlign w:val="center"/>
          </w:tcPr>
          <w:p w14:paraId="75C179C3">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蒙古</w:t>
            </w:r>
          </w:p>
        </w:tc>
        <w:tc>
          <w:tcPr>
            <w:tcW w:w="8646" w:type="dxa"/>
          </w:tcPr>
          <w:p w14:paraId="6B70633A">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成立于2023年，Smart Contract Mongolia打造了E-geree.com数字合同平台，融合区块链、防篡改存储、AI条款解析与跨境电子签名技术。已与教育部、蒙古银行和电信公司合作，处理超76万份合同文档。公司提供100余功能，涵盖B2B、B2G、B2C场景，符合欧盟eIDAS和美国ESIGN标准。其AI合同分析器能识别风险并自动校正，用户体验高效、安全。公司计划扩展至中亚市场，目标服务50万家企业客户，推动区域合同数字化标准建设。</w:t>
            </w:r>
          </w:p>
        </w:tc>
      </w:tr>
      <w:tr w14:paraId="5ECB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14507BE2">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10</w:t>
            </w:r>
          </w:p>
        </w:tc>
        <w:tc>
          <w:tcPr>
            <w:tcW w:w="2747" w:type="dxa"/>
            <w:vAlign w:val="center"/>
          </w:tcPr>
          <w:p w14:paraId="29843281">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EverAI无代码AI平台</w:t>
            </w:r>
          </w:p>
        </w:tc>
        <w:tc>
          <w:tcPr>
            <w:tcW w:w="1701" w:type="dxa"/>
            <w:vAlign w:val="center"/>
          </w:tcPr>
          <w:p w14:paraId="3760AF75">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马来西亚</w:t>
            </w:r>
          </w:p>
        </w:tc>
        <w:tc>
          <w:tcPr>
            <w:tcW w:w="8646" w:type="dxa"/>
          </w:tcPr>
          <w:p w14:paraId="024A203D">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我们的核心技术是Ever AI平台，它允许用户在不编写一行代码的情况下构建和部署定制化的AI解决方案。使用我们的Ever AI平台，用户可以上传自己的数据来构建定制化的AI解决方案，并通过云进行部署。所有这些都可以在不编写一行代码的情况下完成，也不必担心托管AI解决方案的基础设施。</w:t>
            </w:r>
          </w:p>
        </w:tc>
      </w:tr>
      <w:tr w14:paraId="16E8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129B664D">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11</w:t>
            </w:r>
          </w:p>
        </w:tc>
        <w:tc>
          <w:tcPr>
            <w:tcW w:w="2747" w:type="dxa"/>
            <w:vAlign w:val="center"/>
          </w:tcPr>
          <w:p w14:paraId="0661E771">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Remo肌肉健康监测治疗设备</w:t>
            </w:r>
          </w:p>
        </w:tc>
        <w:tc>
          <w:tcPr>
            <w:tcW w:w="1701" w:type="dxa"/>
            <w:vAlign w:val="center"/>
          </w:tcPr>
          <w:p w14:paraId="5A9E5A8F">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马来西亚</w:t>
            </w:r>
          </w:p>
        </w:tc>
        <w:tc>
          <w:tcPr>
            <w:tcW w:w="8646" w:type="dxa"/>
          </w:tcPr>
          <w:p w14:paraId="1EB94D39">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随着老龄人口的迅速增加，我们相信到2050年，这一比例将从12%上升到22%。这里最大的共同问题是肌肉无力。ReMo是一个创新的健康科技项目，旨在革新肌肉健康监测和治疗。我们的系统将肌电图（MMG）和神经肌肉电刺激（NMES）技术集成到一个可穿戴、便携设备中，并配有一个移动应用程序。这种协同作用使用户能够实时评估和增强肌肉表现，弥合临床治疗和家庭护理之间的差距。可穿戴设备利用MMG测量收缩期间的肌肉振动，提供有关肌肉活动、疲劳和整体健康的见解。同时，NMES刺激特定的肌肉群以提高力量、灵活性和恢复能力。该综合系统使用高级信号处理，包括高通滤波器和巴特沃斯滤波器，以区分真正的肌肉收缩和运动相关的噪声，确保准确性。来自三轴加速度计和陀螺仪的数据进一步通过跟踪步态、姿势和身体稳定性来提高精度。ReMo的移动应用程序充当用户友好的界面，提供实时分析、定制的NMES建议和目标跟踪。社区挑战、排行榜和与健康专业人士的远程咨询等功能促进用户参与和依从性。此外，该应用程序支持数据驱动的见解，使其成为医疗保健提供者和研究人员的宝贵工具。我们的系统针对广泛的受众，包括运动员、物理治疗患者和老年人。由于久坐的生活方式导致肌肉无力的早期出现，ReMo提供了一种经济有效的解决方案来监测和维持肌肉健康。与传统物理治疗相比，后者可能昂贵且耗时，ReMo提供了从家中进行的持续监测和治疗。ReMo的扩展计划包括分阶段推出，从预订单开始，逐步发展到高级功能、远程咨询和数据货币化。我们旨在与医疗保健提供者、研究机构和健康品牌合作，创建一个全面的肌肉健康生态系统。总之，ReMo不仅仅是一个产品，它是一种通过尖端技术和以用户为中心的设计来提升移动性、健身和整体生活质量的承诺。</w:t>
            </w:r>
          </w:p>
        </w:tc>
      </w:tr>
      <w:tr w14:paraId="67CF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50838620">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12</w:t>
            </w:r>
          </w:p>
        </w:tc>
        <w:tc>
          <w:tcPr>
            <w:tcW w:w="2747" w:type="dxa"/>
            <w:vAlign w:val="center"/>
          </w:tcPr>
          <w:p w14:paraId="0B4F060E">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Altomate一站式企业服务平台</w:t>
            </w:r>
          </w:p>
        </w:tc>
        <w:tc>
          <w:tcPr>
            <w:tcW w:w="1701" w:type="dxa"/>
            <w:vAlign w:val="center"/>
          </w:tcPr>
          <w:p w14:paraId="344CDEE6">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马来西亚</w:t>
            </w:r>
          </w:p>
        </w:tc>
        <w:tc>
          <w:tcPr>
            <w:tcW w:w="8646" w:type="dxa"/>
          </w:tcPr>
          <w:p w14:paraId="1BCB54B3">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一个面向中小企业 (SME) 的一体化平台，利用人工智能简化业务管理。它提供自动文档生成、智能合规提醒以及统一的工资和发票管理平台等功能。</w:t>
            </w:r>
          </w:p>
        </w:tc>
      </w:tr>
      <w:tr w14:paraId="4A06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47D3A043">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13</w:t>
            </w:r>
          </w:p>
        </w:tc>
        <w:tc>
          <w:tcPr>
            <w:tcW w:w="2747" w:type="dxa"/>
            <w:vAlign w:val="center"/>
          </w:tcPr>
          <w:p w14:paraId="55F8D08F">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基于变压吸附（PSA）新工艺的有机废气高效回收装置</w:t>
            </w:r>
          </w:p>
        </w:tc>
        <w:tc>
          <w:tcPr>
            <w:tcW w:w="1701" w:type="dxa"/>
            <w:vAlign w:val="center"/>
          </w:tcPr>
          <w:p w14:paraId="74644AEA">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新加坡</w:t>
            </w:r>
          </w:p>
        </w:tc>
        <w:tc>
          <w:tcPr>
            <w:tcW w:w="8646" w:type="dxa"/>
            <w:vAlign w:val="center"/>
          </w:tcPr>
          <w:p w14:paraId="631FBEA8">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 xml:space="preserve"> 阿凡提 (AFTI) 科研工作室由新加坡国立大学的博士后与博士研究人员发起共建，核心成员均具备深厚的科研背景与产业转化经验。AFTI 团队自主设计并开发出一套“基于变压吸附新工艺的有机废气高效回收装置” ，该装置已完成中试部署，并通过“中润检测”第三方权威机构进行了性能验证，检测结果显示，本装置在处理喷漆废气中的挥发性有机物回收率高达 98.5%，远超现有市场同类产品。</w:t>
            </w:r>
          </w:p>
        </w:tc>
      </w:tr>
      <w:tr w14:paraId="736A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6E49A647">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14</w:t>
            </w:r>
          </w:p>
        </w:tc>
        <w:tc>
          <w:tcPr>
            <w:tcW w:w="2747" w:type="dxa"/>
            <w:vAlign w:val="center"/>
          </w:tcPr>
          <w:p w14:paraId="449E4C45">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闪量科技多重分子检测技术平台</w:t>
            </w:r>
          </w:p>
        </w:tc>
        <w:tc>
          <w:tcPr>
            <w:tcW w:w="1701" w:type="dxa"/>
            <w:vAlign w:val="center"/>
          </w:tcPr>
          <w:p w14:paraId="1862D427">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新加坡</w:t>
            </w:r>
          </w:p>
        </w:tc>
        <w:tc>
          <w:tcPr>
            <w:tcW w:w="8646" w:type="dxa"/>
            <w:vAlign w:val="center"/>
          </w:tcPr>
          <w:p w14:paraId="60975028">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闪量科技是一家致力于开发多组学分子检测技术平台的创新企业，已拥有多项自研核心知识产权，在深圳和美国硅谷均建有研发实验室及GMP生产厂房。基于自主研发的sSPRT™ (semi-Solid Phase Real Time PCR) 半固相实时定量PCR检测技术，结合低成本微流控生物芯片，闪量科技致力为市场提供高性价比即时多重分子检测解决方案。</w:t>
            </w:r>
          </w:p>
        </w:tc>
      </w:tr>
      <w:tr w14:paraId="7106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45979E26">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15</w:t>
            </w:r>
          </w:p>
        </w:tc>
        <w:tc>
          <w:tcPr>
            <w:tcW w:w="2747" w:type="dxa"/>
            <w:vAlign w:val="center"/>
          </w:tcPr>
          <w:p w14:paraId="1BA07EB2">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用于神经认知和心理健康应用的人工智能驱动的脑机接口</w:t>
            </w:r>
          </w:p>
        </w:tc>
        <w:tc>
          <w:tcPr>
            <w:tcW w:w="1701" w:type="dxa"/>
            <w:vAlign w:val="center"/>
          </w:tcPr>
          <w:p w14:paraId="66D8D9F5">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新加坡</w:t>
            </w:r>
          </w:p>
        </w:tc>
        <w:tc>
          <w:tcPr>
            <w:tcW w:w="8646" w:type="dxa"/>
            <w:vAlign w:val="center"/>
          </w:tcPr>
          <w:p w14:paraId="10C89DB0">
            <w:pPr>
              <w:widowControl/>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Brain Health Innovation Pte. Ltd. 是一家从南洋理工大学（NTU）、新加坡国立大学（NUS）及新加坡国立大学医院（NUH）的前沿研究中衍生而来的公司。Dr. Brain是一项人工智能驱动的神经科技项目，致力于轻度认知障碍(MCI)等认知功能障碍的早期筛查与数字化干预。该系统通过集成便携式脑电设备、脑机接口(BCI)算法及实时神经反馈游戏，实现客观化诊断与个性化治疗。该解决方案支持在医院、社区诊所及家庭环境中部署，为认知健康领域提供可扩展、非侵入性的技术工具。</w:t>
            </w:r>
          </w:p>
        </w:tc>
      </w:tr>
    </w:tbl>
    <w:p w14:paraId="462389C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30886B-0EF4-49CD-B3F0-7C53BCF58C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45C886-A0DE-4E2A-8499-DD0925978C85}"/>
  </w:font>
  <w:font w:name="方正小标宋简体">
    <w:panose1 w:val="02000000000000000000"/>
    <w:charset w:val="86"/>
    <w:family w:val="script"/>
    <w:pitch w:val="default"/>
    <w:sig w:usb0="00000001" w:usb1="080E0000" w:usb2="00000000" w:usb3="00000000" w:csb0="00040000" w:csb1="00000000"/>
    <w:embedRegular r:id="rId3" w:fontKey="{251A3A3E-0ADC-4FD5-9E7D-A33CDC9452A7}"/>
  </w:font>
  <w:font w:name="仿宋_GB2312">
    <w:panose1 w:val="02010609030101010101"/>
    <w:charset w:val="86"/>
    <w:family w:val="modern"/>
    <w:pitch w:val="default"/>
    <w:sig w:usb0="00000001" w:usb1="080E0000" w:usb2="00000000" w:usb3="00000000" w:csb0="00040000" w:csb1="00000000"/>
    <w:embedRegular r:id="rId4" w:fontKey="{FB0F61A7-55B5-41EC-94EA-84E64D25F9D3}"/>
  </w:font>
  <w:font w:name="微软雅黑">
    <w:panose1 w:val="020B0503020204020204"/>
    <w:charset w:val="86"/>
    <w:family w:val="swiss"/>
    <w:pitch w:val="default"/>
    <w:sig w:usb0="80000287" w:usb1="2ACF3C50" w:usb2="00000016" w:usb3="00000000" w:csb0="0004001F" w:csb1="00000000"/>
    <w:embedRegular r:id="rId5" w:fontKey="{F456F242-1B50-4397-AFEF-2EED38504C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F63D3"/>
    <w:rsid w:val="02D356A0"/>
    <w:rsid w:val="031F63D3"/>
    <w:rsid w:val="03311937"/>
    <w:rsid w:val="0EE24DEC"/>
    <w:rsid w:val="111923ED"/>
    <w:rsid w:val="1339011F"/>
    <w:rsid w:val="14681D08"/>
    <w:rsid w:val="1A3C64F7"/>
    <w:rsid w:val="203D3FAD"/>
    <w:rsid w:val="21373E4D"/>
    <w:rsid w:val="25B1683E"/>
    <w:rsid w:val="271C1EEB"/>
    <w:rsid w:val="28606786"/>
    <w:rsid w:val="291E16EA"/>
    <w:rsid w:val="2BD54241"/>
    <w:rsid w:val="2F7E4942"/>
    <w:rsid w:val="322C154E"/>
    <w:rsid w:val="362604E3"/>
    <w:rsid w:val="372A46C0"/>
    <w:rsid w:val="37B56DD2"/>
    <w:rsid w:val="39347204"/>
    <w:rsid w:val="3B1623A2"/>
    <w:rsid w:val="3E2F2083"/>
    <w:rsid w:val="3EBE4CE0"/>
    <w:rsid w:val="3ECF075E"/>
    <w:rsid w:val="42505969"/>
    <w:rsid w:val="44787140"/>
    <w:rsid w:val="45241B20"/>
    <w:rsid w:val="46C14048"/>
    <w:rsid w:val="492D4976"/>
    <w:rsid w:val="49367262"/>
    <w:rsid w:val="49F91FF4"/>
    <w:rsid w:val="4BA60B5E"/>
    <w:rsid w:val="519A6C6E"/>
    <w:rsid w:val="55AD12FF"/>
    <w:rsid w:val="56A363D9"/>
    <w:rsid w:val="56E1201C"/>
    <w:rsid w:val="584A1DE7"/>
    <w:rsid w:val="5FFB3482"/>
    <w:rsid w:val="67393F9A"/>
    <w:rsid w:val="675A4CFA"/>
    <w:rsid w:val="683245D5"/>
    <w:rsid w:val="68382E89"/>
    <w:rsid w:val="6A725096"/>
    <w:rsid w:val="6C9F0D1C"/>
    <w:rsid w:val="6F084F7D"/>
    <w:rsid w:val="6FFE26AA"/>
    <w:rsid w:val="70F0243B"/>
    <w:rsid w:val="71525439"/>
    <w:rsid w:val="728608A2"/>
    <w:rsid w:val="76BC5BEB"/>
    <w:rsid w:val="7C1E7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2025-11-14T05:57:00Z</dcterms:created>
  <dc:creator>White Knight</dc:creator>
  <cp:lastModifiedBy>White Knight</cp:lastModifiedBy>
  <dcterms:modified xsi:type="dcterms:W3CDTF">2025-11-14T05:58:15Z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C605A0133C1246A58D2767C4C3A9CC5E_11</vt:lpwstr>
  </property>
  <property fmtid="{D5CDD505-2E9C-101B-9397-08002B2CF9AE}" pid="4" name="KSOTemplateDocerSaveRecord">
    <vt:lpwstr>eyJoZGlkIjoiMWE0YTFiNjY1MzA4MDgxYzUyNjVlOWM0NGQ2YWI1YzAiLCJ1c2VySWQiOiIzOTE3MTY5ODAifQ==</vt:lpwstr>
  </property>
</Properties>
</file>