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F1CF1">
      <w:pPr>
        <w:spacing w:after="0" w:line="240" w:lineRule="auto"/>
        <w:jc w:val="both"/>
        <w:rPr>
          <w:rFonts w:hint="eastAsia" w:ascii="仿宋_GB2312" w:hAnsi="仿宋_GB2312" w:eastAsia="仿宋_GB2312" w:cs="仿宋_GB2312"/>
          <w:b/>
          <w:bCs/>
          <w:sz w:val="32"/>
          <w:szCs w:val="32"/>
          <w:lang w:val="en-US" w:eastAsia="zh-CN"/>
          <w14:ligatures w14:val="none"/>
        </w:rPr>
      </w:pPr>
      <w:bookmarkStart w:id="0" w:name="_GoBack"/>
      <w:r>
        <w:rPr>
          <w:rFonts w:hint="eastAsia" w:ascii="仿宋" w:hAnsi="仿宋" w:eastAsia="仿宋" w:cs="Times New Roman"/>
          <w:sz w:val="32"/>
          <w:szCs w:val="32"/>
          <w:lang w:val="en-US" w:eastAsia="zh-CN"/>
          <w14:ligatures w14:val="none"/>
        </w:rPr>
        <w:t>附件2</w:t>
      </w:r>
    </w:p>
    <w:bookmarkEnd w:id="0"/>
    <w:p w14:paraId="161CFB61">
      <w:pPr>
        <w:spacing w:after="0" w:line="240" w:lineRule="auto"/>
        <w:jc w:val="center"/>
        <w:rPr>
          <w:rFonts w:hint="eastAsia" w:ascii="仿宋_GB2312" w:hAnsi="仿宋_GB2312" w:eastAsia="仿宋_GB2312" w:cs="仿宋_GB2312"/>
          <w:b/>
          <w:bCs/>
          <w:sz w:val="32"/>
          <w:szCs w:val="32"/>
          <w:lang w:val="en-US" w:eastAsia="zh-CN"/>
          <w14:ligatures w14:val="none"/>
        </w:rPr>
      </w:pPr>
      <w:r>
        <w:rPr>
          <w:rFonts w:hint="eastAsia" w:ascii="仿宋_GB2312" w:hAnsi="仿宋_GB2312" w:eastAsia="仿宋_GB2312" w:cs="仿宋_GB2312"/>
          <w:b/>
          <w:bCs/>
          <w:sz w:val="32"/>
          <w:szCs w:val="32"/>
          <w:lang w:val="en-US" w:eastAsia="zh-CN"/>
          <w14:ligatures w14:val="none"/>
        </w:rPr>
        <w:t>财税合规优秀服务机构申报标准</w:t>
      </w:r>
    </w:p>
    <w:p w14:paraId="677F7DE8">
      <w:pPr>
        <w:spacing w:after="0" w:line="240" w:lineRule="auto"/>
        <w:rPr>
          <w:rFonts w:hint="eastAsia" w:ascii="仿宋" w:hAnsi="仿宋" w:eastAsia="仿宋" w:cs="Times New Roman"/>
          <w:sz w:val="32"/>
          <w:szCs w:val="32"/>
          <w:lang w:val="en-US" w:eastAsia="zh-CN"/>
          <w14:ligatures w14:val="none"/>
        </w:rPr>
      </w:pPr>
    </w:p>
    <w:p w14:paraId="6B8015AF">
      <w:pPr>
        <w:spacing w:after="0" w:line="240" w:lineRule="auto"/>
        <w:rPr>
          <w:rFonts w:hint="eastAsia" w:ascii="仿宋" w:hAnsi="仿宋" w:eastAsia="仿宋" w:cs="Times New Roman"/>
          <w:sz w:val="32"/>
          <w:szCs w:val="32"/>
          <w:lang w:val="en-US" w:eastAsia="zh-CN"/>
          <w14:ligatures w14:val="none"/>
        </w:rPr>
      </w:pPr>
      <w:r>
        <w:rPr>
          <w:rFonts w:hint="eastAsia" w:ascii="仿宋" w:hAnsi="仿宋" w:eastAsia="仿宋" w:cs="Times New Roman"/>
          <w:sz w:val="32"/>
          <w:szCs w:val="32"/>
          <w:lang w:val="en-US" w:eastAsia="zh-CN"/>
          <w14:ligatures w14:val="none"/>
        </w:rPr>
        <w:t>财税合规优秀服务机构应符合以下基本条件：</w:t>
      </w:r>
    </w:p>
    <w:p w14:paraId="0F10047A">
      <w:pPr>
        <w:spacing w:after="0" w:line="240" w:lineRule="auto"/>
        <w:rPr>
          <w:rFonts w:hint="eastAsia" w:ascii="仿宋" w:hAnsi="仿宋" w:eastAsia="仿宋" w:cs="Times New Roman"/>
          <w:sz w:val="32"/>
          <w:szCs w:val="32"/>
          <w:lang w:val="en-US" w:eastAsia="zh-CN"/>
          <w14:ligatures w14:val="none"/>
        </w:rPr>
      </w:pPr>
      <w:r>
        <w:rPr>
          <w:rFonts w:hint="eastAsia" w:ascii="仿宋" w:hAnsi="仿宋" w:eastAsia="仿宋" w:cs="Times New Roman"/>
          <w:sz w:val="32"/>
          <w:szCs w:val="32"/>
          <w:lang w:val="en-US" w:eastAsia="zh-CN"/>
          <w14:ligatures w14:val="none"/>
        </w:rPr>
        <w:t xml:space="preserve">（一）注册（或分支机构注册）在中国大陆地区，有固定经营场所，成立时间2年以上（含2年）； </w:t>
      </w:r>
    </w:p>
    <w:p w14:paraId="43E237F1">
      <w:pPr>
        <w:spacing w:after="0" w:line="240" w:lineRule="auto"/>
        <w:rPr>
          <w:rFonts w:hint="eastAsia" w:ascii="仿宋" w:hAnsi="仿宋" w:eastAsia="仿宋" w:cs="Times New Roman"/>
          <w:sz w:val="32"/>
          <w:szCs w:val="32"/>
          <w:lang w:val="en-US" w:eastAsia="zh-CN"/>
          <w14:ligatures w14:val="none"/>
        </w:rPr>
      </w:pPr>
      <w:r>
        <w:rPr>
          <w:rFonts w:hint="eastAsia" w:ascii="仿宋" w:hAnsi="仿宋" w:eastAsia="仿宋" w:cs="Times New Roman"/>
          <w:sz w:val="32"/>
          <w:szCs w:val="32"/>
          <w:lang w:val="en-US" w:eastAsia="zh-CN"/>
          <w14:ligatures w14:val="none"/>
        </w:rPr>
        <w:t>（二）近2年内未受到刑事及严重行政处罚，不存在严重失信行为；</w:t>
      </w:r>
    </w:p>
    <w:p w14:paraId="6AA4D2DB">
      <w:pPr>
        <w:spacing w:after="0" w:line="240" w:lineRule="auto"/>
        <w:rPr>
          <w:rFonts w:hint="eastAsia" w:ascii="仿宋" w:hAnsi="仿宋" w:eastAsia="仿宋" w:cs="Times New Roman"/>
          <w:sz w:val="32"/>
          <w:szCs w:val="32"/>
          <w:lang w:val="en-US" w:eastAsia="zh-CN"/>
          <w14:ligatures w14:val="none"/>
        </w:rPr>
      </w:pPr>
      <w:r>
        <w:rPr>
          <w:rFonts w:hint="eastAsia" w:ascii="仿宋" w:hAnsi="仿宋" w:eastAsia="仿宋" w:cs="Times New Roman"/>
          <w:sz w:val="32"/>
          <w:szCs w:val="32"/>
          <w:lang w:val="en-US" w:eastAsia="zh-CN"/>
          <w14:ligatures w14:val="none"/>
        </w:rPr>
        <w:t>（三）拥有与业务经营范围和业务发展能力相适应的专业服务团队和技术人员；</w:t>
      </w:r>
    </w:p>
    <w:p w14:paraId="2253BE3F">
      <w:pPr>
        <w:spacing w:after="0" w:line="240" w:lineRule="auto"/>
        <w:rPr>
          <w:rFonts w:hint="eastAsia" w:ascii="仿宋" w:hAnsi="仿宋" w:eastAsia="仿宋" w:cs="Times New Roman"/>
          <w:sz w:val="32"/>
          <w:szCs w:val="32"/>
          <w:lang w:val="en-US" w:eastAsia="zh-CN"/>
          <w14:ligatures w14:val="none"/>
        </w:rPr>
      </w:pPr>
      <w:r>
        <w:rPr>
          <w:rFonts w:hint="eastAsia" w:ascii="仿宋" w:hAnsi="仿宋" w:eastAsia="仿宋" w:cs="Times New Roman"/>
          <w:sz w:val="32"/>
          <w:szCs w:val="32"/>
          <w:lang w:val="en-US" w:eastAsia="zh-CN"/>
          <w14:ligatures w14:val="none"/>
        </w:rPr>
        <w:t>（四）提供相关领域服务资质材料或认定材料（包括但不限于中小企业服务机构服务能力评估等）。</w:t>
      </w:r>
    </w:p>
    <w:p w14:paraId="392F8F9D">
      <w:pPr>
        <w:spacing w:after="0" w:line="240" w:lineRule="auto"/>
        <w:rPr>
          <w:rFonts w:hint="eastAsia" w:ascii="仿宋" w:hAnsi="仿宋" w:eastAsia="仿宋" w:cs="Times New Roman"/>
          <w:sz w:val="32"/>
          <w:szCs w:val="32"/>
          <w:lang w:val="en-US" w:eastAsia="zh-CN"/>
          <w14:ligatures w14:val="none"/>
        </w:rPr>
      </w:pPr>
      <w:r>
        <w:rPr>
          <w:rFonts w:hint="eastAsia" w:ascii="仿宋" w:hAnsi="仿宋" w:eastAsia="仿宋" w:cs="Times New Roman"/>
          <w:sz w:val="32"/>
          <w:szCs w:val="32"/>
          <w:lang w:val="en-US" w:eastAsia="zh-CN"/>
          <w14:ligatures w14:val="none"/>
        </w:rPr>
        <w:t>（五）服务机构选择申报服务领域，并补充提交申请材料后，正式提交财税合规优秀中小企业服务机构申报表（附件1）。</w:t>
      </w:r>
    </w:p>
    <w:p w14:paraId="665D7206"/>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334694"/>
    <w:rsid w:val="1A334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2026-06-08T02:08:00Z</dcterms:created>
  <dc:creator>WPS_1562808674</dc:creator>
  <cp:lastModifiedBy>WPS_1562808674</cp:lastModifiedBy>
  <dcterms:modified xsi:type="dcterms:W3CDTF">2026-06-08T02:08:26Z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92549058F6424043A443298AF25D3E6E_11</vt:lpwstr>
  </property>
  <property fmtid="{D5CDD505-2E9C-101B-9397-08002B2CF9AE}" pid="4" name="KSOTemplateDocerSaveRecord">
    <vt:lpwstr>eyJoZGlkIjoiZDFjZTIyNGUyYTA2MmY3YmY5MjM0MWI1MDk5MTE2YTkiLCJ1c2VySWQiOiI2MDcwMDkwMjYifQ==</vt:lpwstr>
  </property>
</Properties>
</file>